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State flag</w:t>
      </w:r>
    </w:p>
    <w:p>
      <w:pPr>
        <w:jc w:val="both"/>
        <w:spacing w:before="100" w:after="100"/>
        <w:ind w:start="360"/>
        <w:ind w:firstLine="360"/>
      </w:pPr>
      <w:r>
        <w:rPr/>
      </w:r>
      <w:r>
        <w:rPr/>
      </w:r>
      <w:r>
        <w:t xml:space="preserve">The flag to be known as the official flag of the State 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 A flag made in accordance with the description given in this section shall be kept in the office of the Adjutant General as a model.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 State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State flag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§206. STATE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