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150-Q</w:t>
        <w:t xml:space="preserve">.  </w:t>
      </w:r>
      <w:r>
        <w:rPr>
          <w:b/>
        </w:rPr>
        <w:t xml:space="preserve">James Weldon Johnson Day</w:t>
      </w:r>
    </w:p>
    <w:p>
      <w:pPr>
        <w:jc w:val="both"/>
        <w:spacing w:before="100" w:after="100"/>
        <w:ind w:start="360"/>
        <w:ind w:firstLine="360"/>
      </w:pPr>
      <w:r>
        <w:rPr/>
      </w:r>
      <w:r>
        <w:rPr/>
      </w:r>
      <w:r>
        <w:t xml:space="preserve">The Governor shall annually issue a proclamation designating June 17th of each year as James Weldon Johnson Day in honor of writer and civil rights activist James Weldon Johnson.</w:t>
      </w:r>
      <w:r>
        <w:t xml:space="preserve">  </w:t>
      </w:r>
      <w:r xmlns:wp="http://schemas.openxmlformats.org/drawingml/2010/wordprocessingDrawing" xmlns:w15="http://schemas.microsoft.com/office/word/2012/wordml">
        <w:rPr>
          <w:rFonts w:ascii="Arial" w:hAnsi="Arial" w:cs="Arial"/>
          <w:sz w:val="22"/>
          <w:szCs w:val="22"/>
        </w:rPr>
        <w:t xml:space="preserve">[PL 2021,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§150-Q. James Weldon Johnson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§150-Q. James Weldon Johnson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§150-Q. JAMES WELDON JOHNSON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