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Disciplinary guidelines</w:t>
      </w:r>
    </w:p>
    <w:p>
      <w:pPr>
        <w:jc w:val="both"/>
        <w:spacing w:before="100" w:after="100"/>
        <w:ind w:start="360"/>
        <w:ind w:firstLine="360"/>
      </w:pPr>
      <w:r>
        <w:rPr/>
      </w:r>
      <w:r>
        <w:rPr/>
      </w:r>
      <w:r>
        <w:t xml:space="preserve">The Legislature shall adopt, publish, maintain and implement, as authorized in the Constitution of Maine, Article IV, Part Third, Section 4, disciplinary guidelines and procedures for Legislators, including the violations of ethical standards, penalties of reprimand, censure or expulsion and the procedures under which these or other penalties may be imposed.</w:t>
      </w:r>
      <w:r>
        <w:t xml:space="preserve">  </w:t>
      </w:r>
      <w:r xmlns:wp="http://schemas.openxmlformats.org/drawingml/2010/wordprocessingDrawing" xmlns:w15="http://schemas.microsoft.com/office/word/2012/wordml">
        <w:rPr>
          <w:rFonts w:ascii="Arial" w:hAnsi="Arial" w:cs="Arial"/>
          <w:sz w:val="22"/>
          <w:szCs w:val="22"/>
        </w:rPr>
        <w:t xml:space="preserve">[PL 1989, c. 561,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§1022. Disciplinary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Disciplinary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§1022. DISCIPLINARY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