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w:t>
        <w:t xml:space="preserve">.  </w:t>
      </w:r>
      <w:r>
        <w:rPr>
          <w:b/>
        </w:rPr>
        <w:t xml:space="preserve">Statement of purpose</w:t>
      </w:r>
    </w:p>
    <w:p>
      <w:pPr>
        <w:jc w:val="both"/>
        <w:spacing w:before="100" w:after="100"/>
        <w:ind w:start="360"/>
        <w:ind w:firstLine="360"/>
      </w:pPr>
      <w:r>
        <w:rPr/>
      </w:r>
      <w:r>
        <w:rPr/>
      </w:r>
      <w:r>
        <w:t xml:space="preserve">The Maine Legislature enjoys a high reputation for progressive accomplishment. The vast majority of its members are public officers of integrity and dedication, seeking at all times to maintain high standards of ethical 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public interest is best served by attracting and retaining in the Legislature individuals of high caliber and attainment. The public interest will suffer if unduly stringent requirements deprive government "of the services of all but princes and paupers."</w:t>
      </w:r>
      <w:r>
        <w:t xml:space="preserve">  </w:t>
      </w:r>
      <w:r xmlns:wp="http://schemas.openxmlformats.org/drawingml/2010/wordprocessingDrawing" xmlns:w15="http://schemas.microsoft.com/office/word/2012/wordml">
        <w:rPr>
          <w:rFonts w:ascii="Arial" w:hAnsi="Arial" w:cs="Arial"/>
          <w:sz w:val="22"/>
          <w:szCs w:val="22"/>
        </w:rPr>
        <w:t xml:space="preserve">[RR 2023, c. 1, Pt. C, §19 (COR).]</w:t>
      </w:r>
    </w:p>
    <w:p>
      <w:pPr>
        <w:jc w:val="both"/>
        <w:spacing w:before="100" w:after="100"/>
        <w:ind w:start="360"/>
        <w:ind w:firstLine="360"/>
      </w:pPr>
      <w:r>
        <w:rPr/>
      </w:r>
      <w:r>
        <w:rPr/>
      </w:r>
      <w:r>
        <w:t xml:space="preserve">Membership in the Legislature is not a full-time occupation and is not compensated on that basis; moreover, it is measured in 2-year terms, requiring each member to recognize and contemplate that the election of that member will not provide that member with any career tenure.</w:t>
      </w:r>
      <w:r>
        <w:t xml:space="preserve">  </w:t>
      </w:r>
      <w:r xmlns:wp="http://schemas.openxmlformats.org/drawingml/2010/wordprocessingDrawing" xmlns:w15="http://schemas.microsoft.com/office/word/2012/wordml">
        <w:rPr>
          <w:rFonts w:ascii="Arial" w:hAnsi="Arial" w:cs="Arial"/>
          <w:sz w:val="22"/>
          <w:szCs w:val="22"/>
        </w:rPr>
        <w:t xml:space="preserve">[RR 2023, c. 1, Pt. C, §20 (COR).]</w:t>
      </w:r>
    </w:p>
    <w:p>
      <w:pPr>
        <w:jc w:val="both"/>
        <w:spacing w:before="100" w:after="100"/>
        <w:ind w:start="360"/>
        <w:ind w:firstLine="360"/>
      </w:pPr>
      <w:r>
        <w:rPr/>
      </w:r>
      <w:r>
        <w:rPr/>
      </w:r>
      <w:r>
        <w:t xml:space="preserve">Most Legislators must look to income from private sources, not their public salaries, for their sustenance and support for their families; moreover, they must plan for the day when they must return to private employment, business or their professions.</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increasing complexity of government at all levels, with broader intervention into private affairs, makes conflicts of interest almost inevitable for all part-time public officials, and particularly for Legislators who must cast their votes on measures affecting the lives of almost every citizen or resident of the State. The adoption of broader standards of ethics for Legislators does not impugn either their integrity or their dedication; rather it recognizes the increasing complexity of government and private life and will provide them with helpful advice and guidance when confronted with unprecedented or difficult problems in that gray area involving action which is neither clearly right nor clearly wrong.</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If public confidence in government is to be maintained and enhanced, it is not enough that public officers avoid acts of misconduct. They must also scrupulously avoid acts which may create an appearance of misconduct.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Legislature cannot legislate morals and the resolution of ethical problems must indeed rest largely in the individual conscience. The Legislature may and should, however, define ethical standards, as most professions have done, to chart the areas of real or apparent impropriety.</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§§19, 20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