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Impede the Transfer of Firearms to Prohibited Persons</w:t>
      </w:r>
    </w:p>
    <w:p w:rsidR="000D2BDB" w:rsidP="000D2BDB">
      <w:pPr>
        <w:spacing w:after="240"/>
        <w:ind w:left="360"/>
        <w:jc w:val="right"/>
        <w:rPr>
          <w:rFonts w:ascii="Arial" w:eastAsia="Arial" w:hAnsi="Arial" w:cs="Arial"/>
          <w:caps/>
        </w:rPr>
      </w:pPr>
      <w:bookmarkStart w:id="0" w:name="_AMEND_TITLE__b2436887_d181_403d_96d5_f4"/>
      <w:bookmarkStart w:id="1" w:name="_PAGE__1_985011ef_3db4_473d_841a_db47484"/>
      <w:bookmarkStart w:id="2" w:name="_PAR__2_170067bd_6f3a_4d67_919d_7bba4822"/>
      <w:r>
        <w:rPr>
          <w:rFonts w:ascii="Arial" w:eastAsia="Arial" w:hAnsi="Arial" w:cs="Arial"/>
          <w:caps/>
        </w:rPr>
        <w:t>L.D. 22</w:t>
      </w:r>
    </w:p>
    <w:p w:rsidR="000D2BDB" w:rsidP="000D2BDB">
      <w:pPr>
        <w:tabs>
          <w:tab w:val="right" w:pos="8928"/>
        </w:tabs>
        <w:spacing w:after="360"/>
        <w:ind w:left="360"/>
        <w:rPr>
          <w:rFonts w:ascii="Arial" w:eastAsia="Arial" w:hAnsi="Arial" w:cs="Arial"/>
        </w:rPr>
      </w:pPr>
      <w:bookmarkStart w:id="3" w:name="_PAR__3_f6ce3e3c_2483_43e8_afed_21c00720"/>
      <w:bookmarkEnd w:id="2"/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</w:rPr>
        <w:tab/>
        <w:t>(Filing No. S-         )</w:t>
      </w:r>
    </w:p>
    <w:p w:rsidR="000D2BDB" w:rsidP="000D2BDB">
      <w:pPr>
        <w:spacing w:before="600" w:after="300"/>
        <w:ind w:left="360"/>
        <w:jc w:val="center"/>
        <w:outlineLvl w:val="0"/>
        <w:rPr>
          <w:rFonts w:ascii="Arial" w:eastAsia="Arial" w:hAnsi="Arial" w:cs="Arial"/>
        </w:rPr>
      </w:pPr>
      <w:bookmarkStart w:id="4" w:name="_PAR__4_9cf31f29_e733_44d5_b930_b336de44"/>
      <w:bookmarkEnd w:id="3"/>
      <w:r>
        <w:rPr>
          <w:rFonts w:ascii="Arial" w:eastAsia="Arial" w:hAnsi="Arial" w:cs="Arial"/>
          <w:b/>
          <w:caps/>
          <w:sz w:val="24"/>
          <w:szCs w:val="32"/>
        </w:rPr>
        <w:t xml:space="preserve">Criminal Justice and Public Safety </w:t>
      </w:r>
    </w:p>
    <w:p w:rsidR="000D2BDB" w:rsidP="000D2BDB">
      <w:pPr>
        <w:spacing w:before="60" w:after="60"/>
        <w:ind w:left="720"/>
        <w:rPr>
          <w:rFonts w:ascii="Arial" w:eastAsia="Arial" w:hAnsi="Arial" w:cs="Arial"/>
        </w:rPr>
      </w:pPr>
      <w:bookmarkStart w:id="5" w:name="_PAR__5_9f076d05_8309_40cc_8dcc_f44d2d72"/>
      <w:bookmarkEnd w:id="4"/>
      <w:r>
        <w:rPr>
          <w:rFonts w:ascii="Arial" w:eastAsia="Arial" w:hAnsi="Arial" w:cs="Arial"/>
        </w:rPr>
        <w:t>Reproduced and distributed under the direction of the Secretary of the Senate.</w:t>
      </w:r>
    </w:p>
    <w:p w:rsidR="000D2BDB" w:rsidP="000D2BDB">
      <w:pPr>
        <w:spacing w:before="160"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6" w:name="_PAR__6_0232eeea_04a9_407f_89f5_43c4b710"/>
      <w:bookmarkEnd w:id="5"/>
      <w:r>
        <w:rPr>
          <w:rFonts w:ascii="Arial" w:eastAsia="Arial" w:hAnsi="Arial" w:cs="Arial"/>
          <w:b/>
          <w:caps/>
          <w:sz w:val="24"/>
          <w:szCs w:val="32"/>
        </w:rPr>
        <w:t>STATE OF MAINE</w:t>
      </w:r>
    </w:p>
    <w:p w:rsidR="000D2BDB" w:rsidP="000D2BDB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7" w:name="_PAR__7_29c2e838_a727_4cb6_bd40_ac75f5ad"/>
      <w:bookmarkEnd w:id="6"/>
      <w:r>
        <w:rPr>
          <w:rFonts w:ascii="Arial" w:eastAsia="Arial" w:hAnsi="Arial" w:cs="Arial"/>
          <w:b/>
          <w:caps/>
          <w:sz w:val="24"/>
          <w:szCs w:val="32"/>
        </w:rPr>
        <w:t>SENATE</w:t>
      </w:r>
    </w:p>
    <w:p w:rsidR="000D2BDB" w:rsidP="000D2BDB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8" w:name="_PAR__8_8f44087c_6aab_4e36_b2b7_9da47866"/>
      <w:bookmarkEnd w:id="7"/>
      <w:r>
        <w:rPr>
          <w:rFonts w:ascii="Arial" w:eastAsia="Arial" w:hAnsi="Arial" w:cs="Arial"/>
          <w:b/>
          <w:caps/>
          <w:sz w:val="24"/>
          <w:szCs w:val="32"/>
        </w:rPr>
        <w:t>131st Legislature</w:t>
      </w:r>
    </w:p>
    <w:p w:rsidR="000D2BDB" w:rsidP="000D2BDB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9" w:name="_PAR__9_0ad02f2b_ef5e_4f44_a8a6_98ae0085"/>
      <w:bookmarkEnd w:id="8"/>
      <w:r>
        <w:rPr>
          <w:rFonts w:ascii="Arial" w:eastAsia="Arial" w:hAnsi="Arial" w:cs="Arial"/>
          <w:b/>
          <w:caps/>
          <w:sz w:val="24"/>
          <w:szCs w:val="32"/>
        </w:rPr>
        <w:t>First Special Session</w:t>
      </w:r>
    </w:p>
    <w:p w:rsidR="000D2BDB" w:rsidP="000D2BDB">
      <w:pPr>
        <w:spacing w:before="400" w:after="200"/>
        <w:ind w:left="360" w:firstLine="360"/>
        <w:rPr>
          <w:rFonts w:ascii="Arial" w:eastAsia="Arial" w:hAnsi="Arial" w:cs="Arial"/>
        </w:rPr>
      </w:pPr>
      <w:bookmarkStart w:id="10" w:name="_PAR__10_4436a7c0_12e5_4b47_b2f2_d248b86"/>
      <w:bookmarkEnd w:id="9"/>
      <w:r>
        <w:rPr>
          <w:rFonts w:ascii="Arial" w:eastAsia="Arial" w:hAnsi="Arial" w:cs="Arial"/>
          <w:szCs w:val="22"/>
        </w:rPr>
        <w:t>COMMITTEE AMENDMENT “      ” to S.P. 14, L.D. 22, “An Act to Impede the Transfer of Firearms to Prohibited Persons”</w:t>
      </w:r>
    </w:p>
    <w:p w:rsidR="000D2BDB" w:rsidP="000D2BDB">
      <w:pPr>
        <w:ind w:left="360" w:firstLine="360"/>
        <w:rPr>
          <w:rFonts w:ascii="Arial" w:eastAsia="Arial" w:hAnsi="Arial" w:cs="Arial"/>
        </w:rPr>
      </w:pPr>
      <w:bookmarkStart w:id="11" w:name="_INSTRUCTION__0d9f4518_e431_494f_b15c_ef"/>
      <w:bookmarkStart w:id="12" w:name="_PAR__11_ce060453_c433_4bca_9e22_81f4ede"/>
      <w:bookmarkEnd w:id="0"/>
      <w:bookmarkEnd w:id="10"/>
      <w:r>
        <w:rPr>
          <w:rFonts w:ascii="Arial" w:eastAsia="Arial" w:hAnsi="Arial" w:cs="Arial"/>
        </w:rPr>
        <w:t>Amend the bill by striking out everything after the enacting clause and inserting the following:</w:t>
      </w:r>
    </w:p>
    <w:p w:rsidR="000D2BDB" w:rsidP="000D2BDB">
      <w:pPr>
        <w:ind w:left="360" w:firstLine="360"/>
        <w:rPr>
          <w:rFonts w:ascii="Arial" w:eastAsia="Arial" w:hAnsi="Arial" w:cs="Arial"/>
        </w:rPr>
      </w:pPr>
      <w:bookmarkStart w:id="13" w:name="_PAR__12_29e5ac5b_1bf2_438c_9686_7768077"/>
      <w:bookmarkEnd w:id="12"/>
      <w:r>
        <w:rPr>
          <w:rFonts w:ascii="Arial" w:eastAsia="Arial" w:hAnsi="Arial" w:cs="Arial"/>
        </w:rPr>
        <w:t>'</w:t>
      </w:r>
      <w:r>
        <w:rPr>
          <w:rFonts w:ascii="Arial" w:eastAsia="Arial" w:hAnsi="Arial" w:cs="Arial"/>
          <w:b/>
          <w:sz w:val="24"/>
        </w:rPr>
        <w:t>Sec. 1.  15 MRSA §394</w:t>
      </w:r>
      <w:r>
        <w:rPr>
          <w:rFonts w:ascii="Arial" w:eastAsia="Arial" w:hAnsi="Arial" w:cs="Arial"/>
        </w:rPr>
        <w:t xml:space="preserve"> is enacted to read:</w:t>
      </w:r>
    </w:p>
    <w:p w:rsidR="000D2BDB" w:rsidP="000D2BDB">
      <w:pPr>
        <w:ind w:left="1080" w:hanging="720"/>
        <w:rPr>
          <w:rFonts w:ascii="Arial" w:eastAsia="Arial" w:hAnsi="Arial" w:cs="Arial"/>
          <w:b/>
        </w:rPr>
      </w:pPr>
      <w:bookmarkStart w:id="14" w:name="_PAR__13_45ce5256_32b2_4a04_98fe_390899a"/>
      <w:bookmarkEnd w:id="13"/>
      <w:r>
        <w:rPr>
          <w:rFonts w:ascii="Arial" w:eastAsia="Arial" w:hAnsi="Arial" w:cs="Arial"/>
          <w:b/>
          <w:u w:val="single"/>
        </w:rPr>
        <w:t>§394.  Prohibited sale or transfer of firearms to certain persons</w:t>
      </w:r>
    </w:p>
    <w:p w:rsidR="000D2BDB" w:rsidP="000D2BDB">
      <w:pPr>
        <w:ind w:left="360" w:firstLine="360"/>
        <w:rPr>
          <w:rFonts w:ascii="Arial" w:eastAsia="Arial" w:hAnsi="Arial" w:cs="Arial"/>
        </w:rPr>
      </w:pPr>
      <w:bookmarkStart w:id="15" w:name="_PAR__14_71add95b_8996_4ec0_a7d4_4eb7a9f"/>
      <w:bookmarkEnd w:id="14"/>
      <w:r w:rsidRPr="00B57A61">
        <w:rPr>
          <w:rFonts w:ascii="Arial" w:eastAsia="Arial" w:hAnsi="Arial" w:cs="Arial"/>
          <w:b/>
          <w:u w:val="single"/>
        </w:rPr>
        <w:t>1.  Definitions.</w:t>
      </w:r>
      <w:r>
        <w:rPr>
          <w:rFonts w:ascii="Arial" w:eastAsia="Arial" w:hAnsi="Arial" w:cs="Arial"/>
          <w:u w:val="single"/>
        </w:rPr>
        <w:t xml:space="preserve">  As used in this section, unless the context otherwise indicates, the following terms have the following meanings.</w:t>
      </w:r>
    </w:p>
    <w:p w:rsidR="000D2BDB" w:rsidP="000D2BDB">
      <w:pPr>
        <w:ind w:left="720"/>
        <w:rPr>
          <w:rFonts w:ascii="Arial" w:eastAsia="Arial" w:hAnsi="Arial" w:cs="Arial"/>
        </w:rPr>
      </w:pPr>
      <w:bookmarkStart w:id="16" w:name="_PAR__15_ccf124e3_3f12_45bb_a64d_1ff6b6f"/>
      <w:bookmarkEnd w:id="15"/>
      <w:r>
        <w:rPr>
          <w:rFonts w:ascii="Arial" w:eastAsia="Arial" w:hAnsi="Arial" w:cs="Arial"/>
          <w:u w:val="single"/>
        </w:rPr>
        <w:t>A. "Antique firearm" means any of the following:</w:t>
      </w:r>
    </w:p>
    <w:p w:rsidR="000D2BDB" w:rsidP="000D2BDB">
      <w:pPr>
        <w:ind w:left="1080"/>
        <w:rPr>
          <w:rFonts w:ascii="Arial" w:eastAsia="Arial" w:hAnsi="Arial" w:cs="Arial"/>
        </w:rPr>
      </w:pPr>
      <w:bookmarkStart w:id="17" w:name="_PAR__16_3a4adf44_6566_4472_825b_d5b35ec"/>
      <w:bookmarkEnd w:id="16"/>
      <w:r>
        <w:rPr>
          <w:rFonts w:ascii="Arial" w:eastAsia="Arial" w:hAnsi="Arial" w:cs="Arial"/>
          <w:u w:val="single"/>
        </w:rPr>
        <w:t>(1) A firearm manufactured in or before 1898, including a firearm with a matchlock, flintlock, percussion cap or similar type of ignition system;</w:t>
      </w:r>
    </w:p>
    <w:p w:rsidR="000D2BDB" w:rsidP="000D2BDB">
      <w:pPr>
        <w:ind w:left="1080"/>
        <w:rPr>
          <w:rFonts w:ascii="Arial" w:eastAsia="Arial" w:hAnsi="Arial" w:cs="Arial"/>
        </w:rPr>
      </w:pPr>
      <w:bookmarkStart w:id="18" w:name="_PAR__17_d4bb6cf5_c58a_47fa_929e_53137a9"/>
      <w:bookmarkEnd w:id="17"/>
      <w:r>
        <w:rPr>
          <w:rFonts w:ascii="Arial" w:eastAsia="Arial" w:hAnsi="Arial" w:cs="Arial"/>
          <w:u w:val="single"/>
        </w:rPr>
        <w:t>(2) A replica of a firearm described in subparagraph (1), if that replica:</w:t>
      </w:r>
      <w:r>
        <w:rPr>
          <w:rFonts w:ascii="Arial" w:eastAsia="Arial" w:hAnsi="Arial" w:cs="Arial"/>
        </w:rPr>
        <w:t xml:space="preserve"> </w:t>
      </w:r>
    </w:p>
    <w:p w:rsidR="000D2BDB" w:rsidP="000D2BDB">
      <w:pPr>
        <w:ind w:left="1440"/>
        <w:rPr>
          <w:rFonts w:ascii="Arial" w:eastAsia="Arial" w:hAnsi="Arial" w:cs="Arial"/>
        </w:rPr>
      </w:pPr>
      <w:bookmarkStart w:id="19" w:name="_PAR__18_85669a99_a306_4d95_9984_7b72686"/>
      <w:bookmarkEnd w:id="18"/>
      <w:r>
        <w:rPr>
          <w:rFonts w:ascii="Arial" w:eastAsia="Arial" w:hAnsi="Arial" w:cs="Arial"/>
          <w:u w:val="single"/>
        </w:rPr>
        <w:t>(a) Is not designed or redesigned for using rimfire or conventional centerfire fixed ammunition; or</w:t>
      </w:r>
      <w:r>
        <w:rPr>
          <w:rFonts w:ascii="Arial" w:eastAsia="Arial" w:hAnsi="Arial" w:cs="Arial"/>
        </w:rPr>
        <w:t xml:space="preserve"> </w:t>
      </w:r>
    </w:p>
    <w:p w:rsidR="000D2BDB" w:rsidP="000D2BDB">
      <w:pPr>
        <w:ind w:left="1440"/>
        <w:rPr>
          <w:rFonts w:ascii="Arial" w:eastAsia="Arial" w:hAnsi="Arial" w:cs="Arial"/>
        </w:rPr>
      </w:pPr>
      <w:bookmarkStart w:id="20" w:name="_PAR__19_9c7574b0_d30b_44fc_8f2c_5378747"/>
      <w:bookmarkEnd w:id="19"/>
      <w:r>
        <w:rPr>
          <w:rFonts w:ascii="Arial" w:eastAsia="Arial" w:hAnsi="Arial" w:cs="Arial"/>
          <w:u w:val="single"/>
        </w:rPr>
        <w:t>(b) Uses rimfire or conventional centerfire fixed ammunition that is no longer manufactured in the United States and that is not readily available in the ordinary channels of commercial trade; or</w:t>
      </w:r>
    </w:p>
    <w:p w:rsidR="000D2BDB" w:rsidP="000D2BDB">
      <w:pPr>
        <w:ind w:left="1080"/>
        <w:rPr>
          <w:rFonts w:ascii="Arial" w:eastAsia="Arial" w:hAnsi="Arial" w:cs="Arial"/>
        </w:rPr>
      </w:pPr>
      <w:bookmarkStart w:id="21" w:name="_PAR__20_3d087f0a_0016_4a31_8b24_64c88ce"/>
      <w:bookmarkEnd w:id="20"/>
      <w:r>
        <w:rPr>
          <w:rFonts w:ascii="Arial" w:eastAsia="Arial" w:hAnsi="Arial" w:cs="Arial"/>
          <w:u w:val="single"/>
        </w:rPr>
        <w:t>(3) A muzzle-loading firearm, as defined in Title 12, section 10001, subsection 42.</w:t>
      </w:r>
      <w:r>
        <w:rPr>
          <w:rFonts w:ascii="Arial" w:eastAsia="Arial" w:hAnsi="Arial" w:cs="Arial"/>
        </w:rPr>
        <w:t xml:space="preserve"> </w:t>
      </w:r>
    </w:p>
    <w:p w:rsidR="000D2BDB" w:rsidP="000D2BDB">
      <w:pPr>
        <w:ind w:left="720"/>
        <w:rPr>
          <w:rFonts w:ascii="Arial" w:eastAsia="Arial" w:hAnsi="Arial" w:cs="Arial"/>
        </w:rPr>
      </w:pPr>
      <w:bookmarkStart w:id="22" w:name="_PAR__21_45ef493d_98ec_45ce_ac94_e4decd1"/>
      <w:bookmarkEnd w:id="21"/>
      <w:r>
        <w:rPr>
          <w:rFonts w:ascii="Arial" w:eastAsia="Arial" w:hAnsi="Arial" w:cs="Arial"/>
          <w:u w:val="single"/>
        </w:rPr>
        <w:t>"Antique firearm" does not include a firearm or a muzzle-loading firearm that can be readily converted to fire fixed ammunition by replacing the barrel, bolt, breechblock or any combination of the barrel, bolt or breechblock.</w:t>
      </w:r>
    </w:p>
    <w:p w:rsidR="000D2BDB" w:rsidP="000D2BDB">
      <w:pPr>
        <w:ind w:left="720"/>
        <w:rPr>
          <w:rFonts w:ascii="Arial" w:eastAsia="Arial" w:hAnsi="Arial" w:cs="Arial"/>
        </w:rPr>
      </w:pPr>
      <w:bookmarkStart w:id="23" w:name="_PAR__22_899744d8_d39c_4004_bac2_fbac2ce"/>
      <w:bookmarkEnd w:id="22"/>
      <w:r>
        <w:rPr>
          <w:rFonts w:ascii="Arial" w:eastAsia="Arial" w:hAnsi="Arial" w:cs="Arial"/>
          <w:u w:val="single"/>
        </w:rPr>
        <w:t>B.  "Firearm" has the same meaning as in Title 17-A, section 2, subsection 12-A.</w:t>
      </w:r>
    </w:p>
    <w:p w:rsidR="000D2BDB" w:rsidP="000D2BDB">
      <w:pPr>
        <w:ind w:left="720"/>
        <w:rPr>
          <w:rFonts w:ascii="Arial" w:eastAsia="Arial" w:hAnsi="Arial" w:cs="Arial"/>
        </w:rPr>
      </w:pPr>
      <w:bookmarkStart w:id="24" w:name="_PAR__23_6a666644_5d35_43df_bb10_62f84bd"/>
      <w:bookmarkEnd w:id="23"/>
      <w:r>
        <w:rPr>
          <w:rFonts w:ascii="Arial" w:eastAsia="Arial" w:hAnsi="Arial" w:cs="Arial"/>
          <w:u w:val="single"/>
        </w:rPr>
        <w:t>C.  "Sell" has the same meaning as in Title 17-A, section 554-A, subsection 1, paragraph C.</w:t>
      </w:r>
    </w:p>
    <w:p w:rsidR="000D2BDB" w:rsidP="000D2BDB">
      <w:pPr>
        <w:ind w:left="720"/>
        <w:rPr>
          <w:rFonts w:ascii="Arial" w:eastAsia="Arial" w:hAnsi="Arial" w:cs="Arial"/>
        </w:rPr>
      </w:pPr>
      <w:bookmarkStart w:id="25" w:name="_PAGE__2_309fe873_8b82_4d66_9523_6dce1b9"/>
      <w:bookmarkStart w:id="26" w:name="_PAR__2_c0e1164a_d345_41d6_9622_7161d2d3"/>
      <w:bookmarkEnd w:id="1"/>
      <w:bookmarkEnd w:id="24"/>
      <w:r>
        <w:rPr>
          <w:rFonts w:ascii="Arial" w:eastAsia="Arial" w:hAnsi="Arial" w:cs="Arial"/>
          <w:u w:val="single"/>
        </w:rPr>
        <w:t>D.  "Transfer" has the same meaning as in Title 17-A, section 554-A, subsection 1, paragraph A.</w:t>
      </w:r>
    </w:p>
    <w:p w:rsidR="000D2BDB" w:rsidP="000D2BDB">
      <w:pPr>
        <w:ind w:left="360" w:firstLine="360"/>
        <w:rPr>
          <w:rFonts w:ascii="Arial" w:eastAsia="Arial" w:hAnsi="Arial" w:cs="Arial"/>
        </w:rPr>
      </w:pPr>
      <w:bookmarkStart w:id="27" w:name="_PAR__3_73445d99_c29a_430f_8bb0_f43f422a"/>
      <w:bookmarkEnd w:id="26"/>
      <w:r w:rsidRPr="00B57A61">
        <w:rPr>
          <w:rFonts w:ascii="Arial" w:eastAsia="Arial" w:hAnsi="Arial" w:cs="Arial"/>
          <w:b/>
          <w:u w:val="single"/>
        </w:rPr>
        <w:t>2.  Sale or transfer prohibited.</w:t>
      </w:r>
      <w:r>
        <w:rPr>
          <w:rFonts w:ascii="Arial" w:eastAsia="Arial" w:hAnsi="Arial" w:cs="Arial"/>
          <w:u w:val="single"/>
        </w:rPr>
        <w:t xml:space="preserve"> A person may not knowingly or intentionally sell or transfer a firearm to a person who is prohibited from owning, possessing or having under that person's control a firearm pursuant to section 393 and who does not have a permit issued under section 393. This subsection does not apply to the sale or transfer of an antique firearm.</w:t>
      </w:r>
      <w:r>
        <w:rPr>
          <w:rFonts w:ascii="Arial" w:eastAsia="Arial" w:hAnsi="Arial" w:cs="Arial"/>
        </w:rPr>
        <w:t xml:space="preserve"> </w:t>
      </w:r>
    </w:p>
    <w:p w:rsidR="000D2BDB" w:rsidP="000D2BDB">
      <w:pPr>
        <w:ind w:left="360"/>
        <w:rPr>
          <w:rFonts w:ascii="Arial" w:eastAsia="Arial" w:hAnsi="Arial" w:cs="Arial"/>
        </w:rPr>
      </w:pPr>
      <w:bookmarkStart w:id="28" w:name="_PAR__4_59b8b837_79ae_476f_9659_a770b026"/>
      <w:bookmarkEnd w:id="27"/>
      <w:r>
        <w:rPr>
          <w:rFonts w:ascii="Arial" w:eastAsia="Arial" w:hAnsi="Arial" w:cs="Arial"/>
          <w:u w:val="single"/>
        </w:rPr>
        <w:t>Violation of this subsection is a Class D crime.</w:t>
      </w:r>
      <w:r>
        <w:rPr>
          <w:rFonts w:ascii="Arial" w:eastAsia="Arial" w:hAnsi="Arial" w:cs="Arial"/>
        </w:rPr>
        <w:t>'</w:t>
      </w:r>
    </w:p>
    <w:p w:rsidR="000D2BDB" w:rsidP="000D2BDB">
      <w:pPr>
        <w:ind w:left="360" w:firstLine="360"/>
        <w:rPr>
          <w:rFonts w:ascii="Arial" w:eastAsia="Arial" w:hAnsi="Arial" w:cs="Arial"/>
        </w:rPr>
      </w:pPr>
      <w:bookmarkStart w:id="29" w:name="_INSTRUCTION__cd27817a_dcde_4ba7_80b3_00"/>
      <w:bookmarkStart w:id="30" w:name="_PAR__5_5fc61d6b_4fb7_46eb_89e2_0f7a6230"/>
      <w:bookmarkEnd w:id="11"/>
      <w:bookmarkEnd w:id="28"/>
      <w:r>
        <w:rPr>
          <w:rFonts w:ascii="Arial" w:eastAsia="Arial" w:hAnsi="Arial" w:cs="Arial"/>
        </w:rPr>
        <w:t>Amend the bill by relettering or renumbering any nonconsecutive Part letter or section number to read consecutively.</w:t>
      </w:r>
    </w:p>
    <w:p w:rsidR="000D2BDB" w:rsidP="000D2BDB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31" w:name="_SUMMARY__ccb5f3ad_9a52_4842_8807_3337d1"/>
      <w:bookmarkStart w:id="32" w:name="_PAR__6_e7ca6a1f_1791_4b57_87fa_1242df16"/>
      <w:bookmarkEnd w:id="29"/>
      <w:bookmarkEnd w:id="30"/>
      <w:r>
        <w:rPr>
          <w:rFonts w:ascii="Arial" w:eastAsia="Arial" w:hAnsi="Arial" w:cs="Arial"/>
          <w:b/>
          <w:sz w:val="24"/>
        </w:rPr>
        <w:t>SUMMARY</w:t>
      </w:r>
    </w:p>
    <w:p w:rsidR="000D2BDB" w:rsidP="000D2BDB">
      <w:pPr>
        <w:keepNext/>
        <w:ind w:left="360" w:firstLine="360"/>
        <w:rPr>
          <w:rFonts w:ascii="Arial" w:eastAsia="Arial" w:hAnsi="Arial" w:cs="Arial"/>
        </w:rPr>
      </w:pPr>
      <w:bookmarkStart w:id="33" w:name="_PAR__7_71a558d6_59c8_4fcd_acc3_28ff765c"/>
      <w:bookmarkEnd w:id="32"/>
      <w:r w:rsidRPr="003E5267">
        <w:rPr>
          <w:rFonts w:ascii="Arial" w:eastAsia="Arial" w:hAnsi="Arial" w:cs="Arial"/>
        </w:rPr>
        <w:t xml:space="preserve">This amendment, which is the minority report of the committee, </w:t>
      </w:r>
      <w:r>
        <w:rPr>
          <w:rFonts w:ascii="Arial" w:eastAsia="Arial" w:hAnsi="Arial" w:cs="Arial"/>
        </w:rPr>
        <w:t xml:space="preserve">replaces the bill.  The amendment </w:t>
      </w:r>
      <w:r w:rsidRPr="003E5267">
        <w:rPr>
          <w:rFonts w:ascii="Arial" w:eastAsia="Arial" w:hAnsi="Arial" w:cs="Arial"/>
        </w:rPr>
        <w:t>excludes the sale or transfer of an antique firearm from the crime prohibiting the sale or transfer of firearms to certain persons. It also adds a definition of "antique firearms."</w:t>
      </w:r>
    </w:p>
    <w:p w:rsidR="000D2BDB" w:rsidP="000D2BDB">
      <w:pPr>
        <w:keepNext/>
        <w:spacing w:before="60" w:after="60"/>
        <w:ind w:left="360"/>
        <w:jc w:val="center"/>
        <w:rPr>
          <w:rFonts w:ascii="Arial" w:eastAsia="Arial" w:hAnsi="Arial" w:cs="Arial"/>
        </w:rPr>
      </w:pPr>
      <w:bookmarkStart w:id="34" w:name="_FISCAL_NOTE_REQUIRED__a3283912_5030_4c9"/>
      <w:bookmarkStart w:id="35" w:name="_PAR__8_d4242940_a917_42df_a22e_b50a6ffc"/>
      <w:bookmarkEnd w:id="33"/>
      <w:r>
        <w:rPr>
          <w:rFonts w:ascii="Arial" w:eastAsia="Arial" w:hAnsi="Arial" w:cs="Arial"/>
          <w:b/>
        </w:rPr>
        <w:t>FISCAL NOTE REQUIRED</w:t>
      </w:r>
    </w:p>
    <w:p w:rsidR="00000000" w:rsidRPr="000D2BDB" w:rsidP="000D2BDB">
      <w:pPr>
        <w:spacing w:before="60" w:after="60"/>
        <w:ind w:left="360"/>
        <w:jc w:val="center"/>
        <w:rPr>
          <w:rFonts w:ascii="Arial" w:eastAsia="Arial" w:hAnsi="Arial" w:cs="Arial"/>
          <w:b/>
        </w:rPr>
      </w:pPr>
      <w:bookmarkStart w:id="36" w:name="_PAR__9_29f364cc_e29e_42fd_a5b5_c35bfa6a"/>
      <w:bookmarkEnd w:id="35"/>
      <w:r>
        <w:rPr>
          <w:rFonts w:ascii="Arial" w:eastAsia="Arial" w:hAnsi="Arial" w:cs="Arial"/>
          <w:b/>
        </w:rPr>
        <w:t>(See attached)</w:t>
      </w:r>
      <w:bookmarkEnd w:id="25"/>
      <w:bookmarkEnd w:id="31"/>
      <w:bookmarkEnd w:id="34"/>
      <w:bookmarkEnd w:id="36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LR0046, item 3 - 131st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131st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Impede the Transfer of Firearms to Prohibited Persons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0D2BDB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E5267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57A61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