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Eligibility for Commercial Menhaden Fishing Licenses</w:t>
      </w:r>
    </w:p>
    <w:p w:rsidR="00725447" w:rsidP="0072544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6d3665a_59ad_4b94_aeb4_3b"/>
      <w:bookmarkStart w:id="1" w:name="_PAGE__1_e3fe8017_07c3_482d_b769_99b0cb6"/>
      <w:bookmarkStart w:id="2" w:name="_PAR__2_b18ead54_88ea_4aee_ab36_8a0a0ff6"/>
      <w:r>
        <w:rPr>
          <w:rFonts w:ascii="Arial" w:eastAsia="Arial" w:hAnsi="Arial" w:cs="Arial"/>
          <w:caps/>
        </w:rPr>
        <w:t>L.D. 1908</w:t>
      </w:r>
    </w:p>
    <w:p w:rsidR="00725447" w:rsidP="0072544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046712d_174a_4ba3_a56f_dfd742e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725447" w:rsidP="0072544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906df52_17f7_491a_b472_362af28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Marine Resources </w:t>
      </w:r>
    </w:p>
    <w:p w:rsidR="00725447" w:rsidP="00725447">
      <w:pPr>
        <w:spacing w:before="60" w:after="60"/>
        <w:ind w:left="720"/>
        <w:rPr>
          <w:rFonts w:ascii="Arial" w:eastAsia="Arial" w:hAnsi="Arial" w:cs="Arial"/>
        </w:rPr>
      </w:pPr>
      <w:bookmarkStart w:id="5" w:name="_PAR__5_a2127179_a1b2_49e2_84f1_f3011ce7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725447" w:rsidP="0072544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937f579_7366_4ada_91c5_12739a8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25447" w:rsidP="0072544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36d6d1e_e9a3_4b7d_9375_83f3fed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725447" w:rsidP="0072544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f0846b6_e8a9_4a63_91b3_dc87f49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25447" w:rsidP="0072544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3fba309_e4f5_4cd9_9cb7_0b2a03fb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725447" w:rsidP="0072544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749af864_01bc_47ae_9a56_021798b"/>
      <w:bookmarkEnd w:id="9"/>
      <w:r>
        <w:rPr>
          <w:rFonts w:ascii="Arial" w:eastAsia="Arial" w:hAnsi="Arial" w:cs="Arial"/>
          <w:szCs w:val="22"/>
        </w:rPr>
        <w:t>COMMITTEE AMENDMENT “      ” to H.P. 1414, L.D. 1908, “An Act To Limit Eligibility for Commercial Menhaden Fishing Licenses”</w:t>
      </w:r>
    </w:p>
    <w:p w:rsidR="00725447" w:rsidP="00725447">
      <w:pPr>
        <w:ind w:left="360" w:firstLine="360"/>
        <w:rPr>
          <w:rFonts w:ascii="Arial" w:eastAsia="Arial" w:hAnsi="Arial" w:cs="Arial"/>
        </w:rPr>
      </w:pPr>
      <w:bookmarkStart w:id="11" w:name="_INSTRUCTION__eb625608_0900_412c_9f77_13"/>
      <w:bookmarkStart w:id="12" w:name="_PAR__11_2ab78bae_64b7_425f_bc29_ad32495"/>
      <w:bookmarkEnd w:id="0"/>
      <w:bookmarkEnd w:id="10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725447" w:rsidP="00725447">
      <w:pPr>
        <w:ind w:left="360" w:firstLine="360"/>
        <w:rPr>
          <w:rFonts w:ascii="Arial" w:eastAsia="Arial" w:hAnsi="Arial" w:cs="Arial"/>
        </w:rPr>
      </w:pPr>
      <w:bookmarkStart w:id="13" w:name="_PAR__12_53d083b4_60bb_48ed_babf_dfae65d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12 MRSA §6502-C, sub-§1-A</w:t>
      </w:r>
      <w:r>
        <w:rPr>
          <w:rFonts w:ascii="Arial" w:eastAsia="Arial" w:hAnsi="Arial" w:cs="Arial"/>
        </w:rPr>
        <w:t xml:space="preserve"> is enacted to read:</w:t>
      </w:r>
    </w:p>
    <w:p w:rsidR="00725447" w:rsidP="00725447">
      <w:pPr>
        <w:ind w:left="360" w:firstLine="360"/>
        <w:rPr>
          <w:rFonts w:ascii="Arial" w:eastAsia="Arial" w:hAnsi="Arial" w:cs="Arial"/>
        </w:rPr>
      </w:pPr>
      <w:bookmarkStart w:id="14" w:name="_PAR__13_15e2b1f3_bdf2_4e1e_966e_731b2b3"/>
      <w:bookmarkEnd w:id="13"/>
      <w:r>
        <w:rPr>
          <w:rFonts w:ascii="Arial" w:eastAsia="Arial" w:hAnsi="Arial" w:cs="Arial"/>
          <w:b/>
          <w:u w:val="single"/>
        </w:rPr>
        <w:t xml:space="preserve">1-A.  Commercial menhaden fishing license eligibility in 2023. </w:t>
      </w:r>
      <w:r>
        <w:rPr>
          <w:rFonts w:ascii="Arial" w:eastAsia="Arial" w:hAnsi="Arial" w:cs="Arial"/>
          <w:u w:val="single"/>
        </w:rPr>
        <w:t xml:space="preserve"> The commissioner may not issue a 2023 resident commercial menhaden fishing license or a 2023 nonresident commercial menhaden fishing license to an individual unless that individual:</w:t>
      </w:r>
    </w:p>
    <w:p w:rsidR="00725447" w:rsidP="00725447">
      <w:pPr>
        <w:ind w:left="720"/>
        <w:rPr>
          <w:rFonts w:ascii="Arial" w:eastAsia="Arial" w:hAnsi="Arial" w:cs="Arial"/>
        </w:rPr>
      </w:pPr>
      <w:bookmarkStart w:id="15" w:name="_PAR__14_dba0cd94_ce58_4b11_aa12_ce890d2"/>
      <w:bookmarkEnd w:id="14"/>
      <w:r>
        <w:rPr>
          <w:rFonts w:ascii="Arial" w:eastAsia="Arial" w:hAnsi="Arial" w:cs="Arial"/>
          <w:u w:val="single"/>
        </w:rPr>
        <w:t>A.  Possessed a license to fish commercially for menhaden in at least 2 of the following 3 years, 2019, 2020 or 2021; and</w:t>
      </w:r>
    </w:p>
    <w:p w:rsidR="00725447" w:rsidP="00725447">
      <w:pPr>
        <w:ind w:left="720"/>
        <w:rPr>
          <w:rFonts w:ascii="Arial" w:eastAsia="Arial" w:hAnsi="Arial" w:cs="Arial"/>
        </w:rPr>
      </w:pPr>
      <w:bookmarkStart w:id="16" w:name="_PAR__15_3a20d638_0c1e_4785_aec9_e684d3d"/>
      <w:bookmarkEnd w:id="15"/>
      <w:r>
        <w:rPr>
          <w:rFonts w:ascii="Arial" w:eastAsia="Arial" w:hAnsi="Arial" w:cs="Arial"/>
          <w:u w:val="single"/>
        </w:rPr>
        <w:t>B.  According to department records, reported legal landings of menhaden of 25,000 pounds or more in at least one of the following 4 years, 2019, 2020, 2021 or 2022.</w:t>
      </w:r>
    </w:p>
    <w:p w:rsidR="00725447" w:rsidP="00725447">
      <w:pPr>
        <w:ind w:left="720"/>
        <w:rPr>
          <w:rFonts w:ascii="Arial" w:eastAsia="Arial" w:hAnsi="Arial" w:cs="Arial"/>
        </w:rPr>
      </w:pPr>
      <w:bookmarkStart w:id="17" w:name="_PAR__16_3f51784f_6ab9_4074_8f47_7887497"/>
      <w:bookmarkEnd w:id="16"/>
      <w:r>
        <w:rPr>
          <w:rFonts w:ascii="Arial" w:eastAsia="Arial" w:hAnsi="Arial" w:cs="Arial"/>
          <w:u w:val="single"/>
        </w:rPr>
        <w:t>Documentation, acceptable to the department, showing that the landing requirement in this paragraph has been met must be submitted to the department by January 1, 2023.</w:t>
      </w:r>
    </w:p>
    <w:p w:rsidR="00725447" w:rsidP="00725447">
      <w:pPr>
        <w:ind w:left="360" w:firstLine="360"/>
        <w:rPr>
          <w:rFonts w:ascii="Arial" w:eastAsia="Arial" w:hAnsi="Arial" w:cs="Arial"/>
        </w:rPr>
      </w:pPr>
      <w:bookmarkStart w:id="18" w:name="_PAR__17_2a9611e5_57c2_40b5_be9e_7c60e9d"/>
      <w:bookmarkEnd w:id="17"/>
      <w:r>
        <w:rPr>
          <w:rFonts w:ascii="Arial" w:eastAsia="Arial" w:hAnsi="Arial" w:cs="Arial"/>
          <w:b/>
          <w:sz w:val="24"/>
        </w:rPr>
        <w:t>Sec. 2.  12 MRSA §6502-C, sub-§1-B</w:t>
      </w:r>
      <w:r>
        <w:rPr>
          <w:rFonts w:ascii="Arial" w:eastAsia="Arial" w:hAnsi="Arial" w:cs="Arial"/>
        </w:rPr>
        <w:t xml:space="preserve"> is enacted to read:</w:t>
      </w:r>
    </w:p>
    <w:p w:rsidR="00725447" w:rsidP="00725447">
      <w:pPr>
        <w:ind w:left="360" w:firstLine="360"/>
        <w:rPr>
          <w:rFonts w:ascii="Arial" w:eastAsia="Arial" w:hAnsi="Arial" w:cs="Arial"/>
        </w:rPr>
      </w:pPr>
      <w:bookmarkStart w:id="19" w:name="_PAR__18_cc21c609_7b59_4cf5_9c9d_b7f6f5f"/>
      <w:bookmarkEnd w:id="18"/>
      <w:r>
        <w:rPr>
          <w:rFonts w:ascii="Arial" w:eastAsia="Arial" w:hAnsi="Arial" w:cs="Arial"/>
          <w:b/>
          <w:u w:val="single"/>
        </w:rPr>
        <w:t xml:space="preserve">1-B.  Commercial menhaden fishing license eligibility after 2023. </w:t>
      </w:r>
      <w:r>
        <w:rPr>
          <w:rFonts w:ascii="Arial" w:eastAsia="Arial" w:hAnsi="Arial" w:cs="Arial"/>
          <w:u w:val="single"/>
        </w:rPr>
        <w:t xml:space="preserve"> The commissioner may not issue a resident commercial menhaden fishing license or a nonresident commercial menhaden fishing license to an individual in any year subsequent to 2023 unless that individual possessed that license in the previous calendar year.</w:t>
      </w:r>
    </w:p>
    <w:p w:rsidR="00725447" w:rsidP="00725447">
      <w:pPr>
        <w:ind w:left="360" w:firstLine="360"/>
        <w:rPr>
          <w:rFonts w:ascii="Arial" w:eastAsia="Arial" w:hAnsi="Arial" w:cs="Arial"/>
        </w:rPr>
      </w:pPr>
      <w:bookmarkStart w:id="20" w:name="_PAR__19_58182cc2_45a3_4b3b_be05_fd9d8a6"/>
      <w:bookmarkEnd w:id="19"/>
      <w:r>
        <w:rPr>
          <w:rFonts w:ascii="Arial" w:eastAsia="Arial" w:hAnsi="Arial" w:cs="Arial"/>
          <w:b/>
          <w:sz w:val="24"/>
        </w:rPr>
        <w:t>Sec. 3.</w:t>
      </w:r>
      <w:r>
        <w:rPr>
          <w:rFonts w:ascii="Arial" w:eastAsia="Arial" w:hAnsi="Arial" w:cs="Arial"/>
        </w:rPr>
        <w:t xml:space="preserve">  </w:t>
      </w:r>
      <w:r w:rsidRPr="00954A54">
        <w:rPr>
          <w:rFonts w:ascii="Arial" w:eastAsia="Arial" w:hAnsi="Arial" w:cs="Arial"/>
          <w:b/>
          <w:sz w:val="24"/>
          <w:szCs w:val="24"/>
        </w:rPr>
        <w:t>Report.</w:t>
      </w:r>
      <w:r w:rsidRPr="00954A5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954A54">
        <w:rPr>
          <w:rFonts w:ascii="Arial" w:eastAsia="Arial" w:hAnsi="Arial" w:cs="Arial"/>
        </w:rPr>
        <w:t xml:space="preserve">By January 15, 2023, the Commissioner </w:t>
      </w:r>
      <w:r>
        <w:rPr>
          <w:rFonts w:ascii="Arial" w:eastAsia="Arial" w:hAnsi="Arial" w:cs="Arial"/>
        </w:rPr>
        <w:t xml:space="preserve">of Marine Resources </w:t>
      </w:r>
      <w:r w:rsidRPr="00954A54">
        <w:rPr>
          <w:rFonts w:ascii="Arial" w:eastAsia="Arial" w:hAnsi="Arial" w:cs="Arial"/>
        </w:rPr>
        <w:t xml:space="preserve">shall submit a report to the joint standing committee of the Legislature having jurisdiction over marine resources matters with details on the implementation of </w:t>
      </w:r>
      <w:r>
        <w:rPr>
          <w:rFonts w:ascii="Arial" w:eastAsia="Arial" w:hAnsi="Arial" w:cs="Arial"/>
        </w:rPr>
        <w:t xml:space="preserve">the Maine Revised Statutes, Title 12, section 6502-C, </w:t>
      </w:r>
      <w:r w:rsidRPr="00954A54">
        <w:rPr>
          <w:rFonts w:ascii="Arial" w:eastAsia="Arial" w:hAnsi="Arial" w:cs="Arial"/>
        </w:rPr>
        <w:t>sub</w:t>
      </w:r>
      <w:r>
        <w:rPr>
          <w:rFonts w:ascii="Arial" w:eastAsia="Arial" w:hAnsi="Arial" w:cs="Arial"/>
        </w:rPr>
        <w:t xml:space="preserve">sections </w:t>
      </w:r>
      <w:r w:rsidRPr="00954A54">
        <w:rPr>
          <w:rFonts w:ascii="Arial" w:eastAsia="Arial" w:hAnsi="Arial" w:cs="Arial"/>
        </w:rPr>
        <w:t xml:space="preserve">1-A and 1-B.  The committee has the authority to report out a bill to the 131st Legislature </w:t>
      </w:r>
      <w:r>
        <w:rPr>
          <w:rFonts w:ascii="Arial" w:eastAsia="Arial" w:hAnsi="Arial" w:cs="Arial"/>
        </w:rPr>
        <w:t xml:space="preserve">in 2023 </w:t>
      </w:r>
      <w:r w:rsidRPr="00954A54">
        <w:rPr>
          <w:rFonts w:ascii="Arial" w:eastAsia="Arial" w:hAnsi="Arial" w:cs="Arial"/>
        </w:rPr>
        <w:t>based on the report.</w:t>
      </w:r>
      <w:r>
        <w:rPr>
          <w:rFonts w:ascii="Arial" w:eastAsia="Arial" w:hAnsi="Arial" w:cs="Arial"/>
        </w:rPr>
        <w:t>'</w:t>
      </w:r>
    </w:p>
    <w:p w:rsidR="00725447" w:rsidP="00725447">
      <w:pPr>
        <w:ind w:left="360" w:firstLine="360"/>
        <w:rPr>
          <w:rFonts w:ascii="Arial" w:eastAsia="Arial" w:hAnsi="Arial" w:cs="Arial"/>
        </w:rPr>
      </w:pPr>
      <w:bookmarkStart w:id="21" w:name="_INSTRUCTION__d70339d3_a462_4167_9f47_1e"/>
      <w:bookmarkStart w:id="22" w:name="_PAR__20_8d4064bb_e8e1_45f6_ba64_b8e884b"/>
      <w:bookmarkEnd w:id="11"/>
      <w:bookmarkEnd w:id="2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25447" w:rsidP="0072544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46034976_aab6_4029_976a_43dcc5"/>
      <w:bookmarkStart w:id="24" w:name="_PAGE__2_09516e4e_0e35_41c1_9613_19d53c9"/>
      <w:bookmarkStart w:id="25" w:name="_PAR__2_6d4158cd_2b80_4bdb_a054_752efc4f"/>
      <w:bookmarkEnd w:id="1"/>
      <w:bookmarkEnd w:id="21"/>
      <w:bookmarkEnd w:id="22"/>
      <w:r>
        <w:rPr>
          <w:rFonts w:ascii="Arial" w:eastAsia="Arial" w:hAnsi="Arial" w:cs="Arial"/>
          <w:b/>
          <w:sz w:val="24"/>
        </w:rPr>
        <w:t>SUMMARY</w:t>
      </w:r>
    </w:p>
    <w:p w:rsidR="00725447" w:rsidP="00725447">
      <w:pPr>
        <w:keepNext/>
        <w:ind w:left="360" w:firstLine="360"/>
        <w:rPr>
          <w:rFonts w:ascii="Arial" w:eastAsia="Arial" w:hAnsi="Arial" w:cs="Arial"/>
        </w:rPr>
      </w:pPr>
      <w:bookmarkStart w:id="26" w:name="_PAR__3_ee9d3fa0_4ae5_484b_9301_d0aecd9d"/>
      <w:bookmarkEnd w:id="25"/>
      <w:r w:rsidRPr="00954A54">
        <w:rPr>
          <w:rFonts w:ascii="Arial" w:eastAsia="Arial" w:hAnsi="Arial" w:cs="Arial"/>
        </w:rPr>
        <w:t xml:space="preserve">This amendment, which is the majority report of the committee, changes the requirements for a 2023 commercial menhaden fishing license.  </w:t>
      </w:r>
      <w:r>
        <w:rPr>
          <w:rFonts w:ascii="Arial" w:eastAsia="Arial" w:hAnsi="Arial" w:cs="Arial"/>
        </w:rPr>
        <w:t>An individual</w:t>
      </w:r>
      <w:r w:rsidRPr="00954A54">
        <w:rPr>
          <w:rFonts w:ascii="Arial" w:eastAsia="Arial" w:hAnsi="Arial" w:cs="Arial"/>
        </w:rPr>
        <w:t xml:space="preserve"> may obtain a license if </w:t>
      </w:r>
      <w:r>
        <w:rPr>
          <w:rFonts w:ascii="Arial" w:eastAsia="Arial" w:hAnsi="Arial" w:cs="Arial"/>
        </w:rPr>
        <w:t>the individual</w:t>
      </w:r>
      <w:r w:rsidRPr="00954A54">
        <w:rPr>
          <w:rFonts w:ascii="Arial" w:eastAsia="Arial" w:hAnsi="Arial" w:cs="Arial"/>
        </w:rPr>
        <w:t xml:space="preserve"> possessed a commercial menhaden license in </w:t>
      </w:r>
      <w:r>
        <w:rPr>
          <w:rFonts w:ascii="Arial" w:eastAsia="Arial" w:hAnsi="Arial" w:cs="Arial"/>
        </w:rPr>
        <w:t xml:space="preserve">at least </w:t>
      </w:r>
      <w:r w:rsidRPr="00954A54">
        <w:rPr>
          <w:rFonts w:ascii="Arial" w:eastAsia="Arial" w:hAnsi="Arial" w:cs="Arial"/>
        </w:rPr>
        <w:t>2 of the following 3 years, 2019, 2020 or 2021</w:t>
      </w:r>
      <w:r>
        <w:rPr>
          <w:rFonts w:ascii="Arial" w:eastAsia="Arial" w:hAnsi="Arial" w:cs="Arial"/>
        </w:rPr>
        <w:t>;</w:t>
      </w:r>
      <w:r w:rsidRPr="00954A54">
        <w:rPr>
          <w:rFonts w:ascii="Arial" w:eastAsia="Arial" w:hAnsi="Arial" w:cs="Arial"/>
        </w:rPr>
        <w:t xml:space="preserve"> and reported legal landings to the Department of Marine Resources, by January 1, 2023, of 25,000 pounds or more in at least </w:t>
      </w:r>
      <w:r>
        <w:rPr>
          <w:rFonts w:ascii="Arial" w:eastAsia="Arial" w:hAnsi="Arial" w:cs="Arial"/>
        </w:rPr>
        <w:t>one</w:t>
      </w:r>
      <w:r w:rsidRPr="00954A54">
        <w:rPr>
          <w:rFonts w:ascii="Arial" w:eastAsia="Arial" w:hAnsi="Arial" w:cs="Arial"/>
        </w:rPr>
        <w:t xml:space="preserve"> of the following </w:t>
      </w:r>
      <w:r>
        <w:rPr>
          <w:rFonts w:ascii="Arial" w:eastAsia="Arial" w:hAnsi="Arial" w:cs="Arial"/>
        </w:rPr>
        <w:t xml:space="preserve">4 </w:t>
      </w:r>
      <w:r w:rsidRPr="00954A54">
        <w:rPr>
          <w:rFonts w:ascii="Arial" w:eastAsia="Arial" w:hAnsi="Arial" w:cs="Arial"/>
        </w:rPr>
        <w:t xml:space="preserve">years, 2019, 2020, 2021 or 2022.  It also requires the department to report to the </w:t>
      </w:r>
      <w:r>
        <w:rPr>
          <w:rFonts w:ascii="Arial" w:eastAsia="Arial" w:hAnsi="Arial" w:cs="Arial"/>
        </w:rPr>
        <w:t>j</w:t>
      </w:r>
      <w:r w:rsidRPr="00954A54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954A54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954A54">
        <w:rPr>
          <w:rFonts w:ascii="Arial" w:eastAsia="Arial" w:hAnsi="Arial" w:cs="Arial"/>
        </w:rPr>
        <w:t xml:space="preserve">ommittee of the Legislature having jurisdiction over marine resources matters by January 15, 2023 and gives the committee the authority to report out a bill </w:t>
      </w:r>
      <w:r>
        <w:rPr>
          <w:rFonts w:ascii="Arial" w:eastAsia="Arial" w:hAnsi="Arial" w:cs="Arial"/>
        </w:rPr>
        <w:t xml:space="preserve">to the Legislature </w:t>
      </w:r>
      <w:r w:rsidRPr="00954A54">
        <w:rPr>
          <w:rFonts w:ascii="Arial" w:eastAsia="Arial" w:hAnsi="Arial" w:cs="Arial"/>
        </w:rPr>
        <w:t>based on the report.</w:t>
      </w:r>
    </w:p>
    <w:p w:rsidR="00725447" w:rsidP="00725447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7" w:name="_FISCAL_NOTE_REQUIRED__b22dad74_793a_404"/>
      <w:bookmarkStart w:id="28" w:name="_PAR__4_5d47d428_c3a3_44e6_88bd_81fb06cc"/>
      <w:bookmarkEnd w:id="26"/>
      <w:r>
        <w:rPr>
          <w:rFonts w:ascii="Arial" w:eastAsia="Arial" w:hAnsi="Arial" w:cs="Arial"/>
          <w:b/>
        </w:rPr>
        <w:t>FISCAL NOTE REQUIRED</w:t>
      </w:r>
    </w:p>
    <w:p w:rsidR="00000000" w:rsidRPr="00725447" w:rsidP="00725447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9" w:name="_PAR__5_963bb67d_531c_4ab4_94ca_d2605546"/>
      <w:bookmarkEnd w:id="28"/>
      <w:r>
        <w:rPr>
          <w:rFonts w:ascii="Arial" w:eastAsia="Arial" w:hAnsi="Arial" w:cs="Arial"/>
          <w:b/>
        </w:rPr>
        <w:t>(See attached)</w:t>
      </w:r>
      <w:bookmarkEnd w:id="23"/>
      <w:bookmarkEnd w:id="24"/>
      <w:bookmarkEnd w:id="27"/>
      <w:bookmarkEnd w:id="2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LR2192,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Eligibility for Commercial Menhaden Fishing Licenses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25447"/>
    <w:rsid w:val="007D72C8"/>
    <w:rsid w:val="007F3B1E"/>
    <w:rsid w:val="00801F19"/>
    <w:rsid w:val="00806421"/>
    <w:rsid w:val="008A5943"/>
    <w:rsid w:val="0092322A"/>
    <w:rsid w:val="009367EC"/>
    <w:rsid w:val="00954A54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