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Authority of commissioner;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952</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953</w:t>
        <w:t xml:space="preserve">.  </w:t>
      </w:r>
      <w:r>
        <w:rPr>
          <w:b/>
        </w:rPr>
        <w:t xml:space="preserve">Application of laws affecting trust companies; 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954</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