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50-A</w:t>
      </w:r>
    </w:p>
    <w:p>
      <w:pPr>
        <w:jc w:val="center"/>
        <w:ind w:start="360"/>
        <w:spacing w:before="300" w:after="300"/>
      </w:pPr>
      <w:r>
        <w:rPr>
          <w:b/>
        </w:rPr>
        <w:t xml:space="preserve">REAL ESTATE</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Certain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582</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1973, c. 416 (AMD). PL 1975, c. 500, §3 (RP). </w:t>
      </w:r>
    </w:p>
    <w:p>
      <w:pPr>
        <w:jc w:val="both"/>
        <w:spacing w:before="100" w:after="100"/>
        <w:ind w:start="1080" w:hanging="720"/>
      </w:pPr>
      <w:r>
        <w:rPr>
          <w:b/>
        </w:rPr>
        <w:t>§</w:t>
        <w:t>583</w:t>
        <w:t xml:space="preserve">.  </w:t>
      </w:r>
      <w:r>
        <w:rPr>
          <w:b/>
        </w:rPr>
        <w:t xml:space="preserve">Book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50-A.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50-A.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50-A.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