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PROHIBITIONS</w:t>
      </w:r>
    </w:p>
    <w:p>
      <w:pPr>
        <w:jc w:val="both"/>
        <w:spacing w:before="100" w:after="100"/>
        <w:ind w:start="1080" w:hanging="720"/>
      </w:pPr>
      <w:r>
        <w:rPr>
          <w:b/>
        </w:rPr>
        <w:t>§</w:t>
        <w:t>2381</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454 (AMD). PL 1967, c. 140, §§9,10 (AMD). PL 1975, c. 500, §3 (RP). </w:t>
      </w:r>
    </w:p>
    <w:p>
      <w:pPr>
        <w:jc w:val="both"/>
        <w:spacing w:before="100" w:after="100"/>
        <w:ind w:start="1080" w:hanging="720"/>
      </w:pPr>
      <w:r>
        <w:rPr>
          <w:b/>
        </w:rPr>
        <w:t>§</w:t>
        <w:t>2382</w:t>
        <w:t xml:space="preserve">.  </w:t>
      </w:r>
      <w:r>
        <w:rPr>
          <w:b/>
        </w:rPr>
        <w:t xml:space="preserve">Prohibition of use of name "industrial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§11 (NEW). PL 1973, c. 625, §49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205.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