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INSOLVENCY AND LIQUIDATION</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Voluntary liquidation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2032</w:t>
        <w:t xml:space="preserve">.  </w:t>
      </w:r>
      <w:r>
        <w:rPr>
          <w:b/>
        </w:rPr>
        <w:t xml:space="preserve">Conservatorship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2033</w:t>
        <w:t xml:space="preserve">.  </w:t>
      </w:r>
      <w:r>
        <w:rPr>
          <w:b/>
        </w:rPr>
        <w:t xml:space="preserve">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2034</w:t>
        <w:t xml:space="preserve">.  </w:t>
      </w:r>
      <w:r>
        <w:rPr>
          <w:b/>
        </w:rPr>
        <w:t xml:space="preserve">Solvent corporation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2035</w:t>
        <w:t xml:space="preserve">.  </w:t>
      </w:r>
      <w:r>
        <w:rPr>
          <w:b/>
        </w:rPr>
        <w:t xml:space="preserve">Status of members; no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2036</w:t>
        <w:t xml:space="preserve">.  </w:t>
      </w:r>
      <w:r>
        <w:rPr>
          <w:b/>
        </w:rPr>
        <w:t xml:space="preserve">Optional bylaw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442, §15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167. INSOLVENCY AND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INSOLVENCY AND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167. INSOLVENCY AND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