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MUTUAL HOLDING COMPANY</w:t>
      </w:r>
    </w:p>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105.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105.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