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No discharge from employment for garnishment</w:t>
      </w:r>
    </w:p>
    <w:p>
      <w:pPr>
        <w:jc w:val="both"/>
        <w:spacing w:before="100" w:after="100"/>
        <w:ind w:start="360"/>
        <w:ind w:firstLine="360"/>
      </w:pPr>
      <w:r>
        <w:rPr/>
      </w:r>
      <w:r>
        <w:rPr/>
      </w:r>
      <w:r>
        <w:t xml:space="preserve">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No discharge from employment for garnishment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No discharge from employment for garnishment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§5-106. NO DISCHARGE FROM EMPLOYMENT FOR GARNISHMENT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