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Insurance producer activities</w:t>
      </w:r>
    </w:p>
    <w:p>
      <w:pPr>
        <w:jc w:val="both"/>
        <w:spacing w:before="100" w:after="100"/>
        <w:ind w:start="360"/>
        <w:ind w:firstLine="360"/>
      </w:pPr>
      <w:r>
        <w:rPr/>
      </w:r>
      <w:r>
        <w:rPr/>
      </w:r>
      <w:r>
        <w:t xml:space="preserve">A supervised lender and any affiliate may become licensed under </w:t>
      </w:r>
      <w:r>
        <w:t>Title 24‑A</w:t>
      </w:r>
      <w:r>
        <w:t xml:space="preserve"> as an insurance producer or consultant for the sale of insurance products in this State and may act as an insurance producer or consultant for the sale of insurance products in this State.</w:t>
      </w:r>
      <w:r>
        <w:t xml:space="preserve">  </w:t>
      </w:r>
      <w:r xmlns:wp="http://schemas.openxmlformats.org/drawingml/2010/wordprocessingDrawing" xmlns:w15="http://schemas.microsoft.com/office/word/2012/wordml">
        <w:rPr>
          <w:rFonts w:ascii="Arial" w:hAnsi="Arial" w:cs="Arial"/>
          <w:sz w:val="22"/>
          <w:szCs w:val="22"/>
        </w:rPr>
        <w:t xml:space="preserve">[PL 2021, c. 676,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§4-402. Insurance producer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Insurance producer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§4-402. INSURANCE PRODUCER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