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w:t>
        <w:t xml:space="preserve">.  </w:t>
      </w:r>
      <w:r>
        <w:rPr>
          <w:b/>
        </w:rPr>
        <w:t xml:space="preserve">Fund to Stabilize Off-track Betting Facilities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to Stabilize Off-track Betting Facilities is established to provide revenues to those off-track betting facilities licensed and in operation as of December 31, 2003.  The fund is a dedicated, nonlapsing fund. All revenues deposited in the fund remain in the fund and must be disbursed in accordance with this section, except that assessments and advances may be withdrawn in accordance with </w:t>
      </w:r>
      <w:r>
        <w:t>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§12 (AMD); PL 2007, c. 539, Pt. G, §15 (AFF).]</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January 30th, all amounts credited to the fund established by this section as of the last day of the preceding month and not distributed before that day must be distributed to each of Maine's off-track betting facilities licensed and in operation as of December 31, 2003.  Distributions must be made in equal amounts to each off-track betting facility in operation as of the date of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§4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§A4 (NEW). PL 2003, c. 687, §B11 (AFF). PL 2007, c. 539, Pt. G, §12 (AMD). PL 2007, c. 539, Pt. G,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 Fund to Stabilize Off-track Betting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 Fund to Stabilize Off-track Betting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§300. FUND TO STABILIZE OFF-TRACK BETTING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