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Jurisdiction</w:t>
      </w:r>
    </w:p>
    <w:p>
      <w:pPr>
        <w:jc w:val="both"/>
        <w:spacing w:before="100" w:after="100"/>
        <w:ind w:start="360"/>
        <w:ind w:firstLine="360"/>
      </w:pPr>
      <w:r>
        <w:rPr/>
      </w:r>
      <w:r>
        <w:rPr/>
      </w:r>
      <w:r>
        <w:t xml:space="preserve">The District Court and the Superior Court have concurrent jurisdiction in cases arising under </w:t>
      </w:r>
      <w:r>
        <w:t>sections 2901‑A</w:t>
      </w:r>
      <w:r>
        <w:t xml:space="preserve"> to </w:t>
      </w:r>
      <w:r>
        <w:t>2903‑B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§13 (AMD). PL 1999, c. 679, §A10 (AMD). PL 2005, c. 270,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§2907.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§2907.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