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2225</w:t>
        <w:t xml:space="preserve">.  </w:t>
      </w:r>
      <w:r>
        <w:rPr>
          <w:b/>
        </w:rPr>
        <w:t xml:space="preserve">Rules</w:t>
      </w:r>
    </w:p>
    <w:p>
      <w:pPr>
        <w:jc w:val="both"/>
        <w:spacing w:before="100" w:after="100"/>
        <w:ind w:start="360"/>
        <w:ind w:firstLine="360"/>
      </w:pPr>
      <w:r>
        <w:rPr/>
      </w:r>
      <w:r>
        <w:rPr/>
      </w:r>
      <w:r>
        <w:t xml:space="preserve">The department may adopt rules necessary to implement this chapter.</w:t>
      </w:r>
      <w:r>
        <w:t xml:space="preserve">  </w:t>
      </w:r>
      <w:r xmlns:wp="http://schemas.openxmlformats.org/drawingml/2010/wordprocessingDrawing" xmlns:w15="http://schemas.microsoft.com/office/word/2012/wordml">
        <w:rPr>
          <w:rFonts w:ascii="Arial" w:hAnsi="Arial" w:cs="Arial"/>
          <w:sz w:val="22"/>
          <w:szCs w:val="22"/>
        </w:rPr>
        <w:t xml:space="preserve">[PL 1993, c. 548,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548,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§2225. Rules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§2225. Rules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§2225. RULES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