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§1096. Violation;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Violation;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§1096. VIOLATION;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