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TREES AND SHRUBS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jc w:val="both"/>
        <w:spacing w:before="100" w:after="100"/>
        <w:ind w:start="1080" w:hanging="720"/>
      </w:pPr>
      <w:r>
        <w:rPr>
          <w:b/>
        </w:rPr>
        <w:t>§</w:t>
        <w:t>2205</w:t>
        <w:t xml:space="preserve">.  </w:t>
      </w:r>
      <w:r>
        <w:rPr>
          <w:b/>
        </w:rPr>
        <w:t xml:space="preserve">Transportation of uninspected stock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§92 (AMD). PL 1991, c. 785, §2 (RP). </w:t>
      </w:r>
    </w:p>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405. TREES AND SHRUBS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TREES AND SHRUBS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405. TREES AND SHRUBS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