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jc w:val="both"/>
        <w:spacing w:before="100" w:after="100"/>
        <w:ind w:start="1080" w:hanging="720"/>
      </w:pPr>
      <w:r>
        <w:rPr>
          <w:b/>
        </w:rPr>
        <w:t>§</w:t>
        <w:t>1704</w:t>
        <w:t xml:space="preserve">.  </w:t>
      </w:r>
      <w:r>
        <w:rPr>
          <w:b/>
        </w:rPr>
        <w:t xml:space="preserve">Agents</w:t>
      </w:r>
    </w:p>
    <w:p>
      <w:pPr>
        <w:jc w:val="both"/>
        <w:spacing w:before="100" w:after="100"/>
        <w:ind w:start="360"/>
        <w:ind w:firstLine="360"/>
      </w:pPr>
      <w:r>
        <w:rPr/>
      </w:r>
      <w:r>
        <w:rPr/>
      </w:r>
      <w:r>
        <w:t xml:space="preserve">The commissioner may employ veterinarians licensed in this State and other agents and employees as may be necessary to enforce </w:t>
      </w:r>
      <w:r>
        <w:t>chapters 201</w:t>
      </w:r>
      <w:r>
        <w:t xml:space="preserve">, </w:t>
      </w:r>
      <w:r>
        <w:t>207</w:t>
      </w:r>
      <w:r>
        <w:t xml:space="preserve">, </w:t>
      </w:r>
      <w:r>
        <w:t>301</w:t>
      </w:r>
      <w:r>
        <w:t xml:space="preserve">, </w:t>
      </w:r>
      <w:r>
        <w:t>303</w:t>
      </w:r>
      <w:r>
        <w:t xml:space="preserve"> and </w:t>
      </w:r>
      <w:r>
        <w:t>305</w:t>
      </w:r>
      <w:r>
        <w:t xml:space="preserv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2001, c. 572,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§27 (AMD). PL 1985, c. 785, §B46 (AMD). PL 2001, c. 572, §20 (AMD). </w:t>
      </w:r>
    </w:p>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jc w:val="both"/>
        <w:spacing w:before="100" w:after="100"/>
        <w:ind w:start="1080" w:hanging="720"/>
      </w:pPr>
      <w:r>
        <w:rPr>
          <w:b/>
        </w:rPr>
        <w:t>§</w:t>
        <w:t>1708</w:t>
        <w:t xml:space="preserve">.  </w:t>
      </w:r>
      <w:r>
        <w:rPr>
          <w:b/>
        </w:rPr>
        <w:t xml:space="preserve">National animal identification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544, §1 (NEW). MRSA T. 7 §1708,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