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Title</w:t>
      </w:r>
    </w:p>
    <w:p>
      <w:pPr>
        <w:jc w:val="both"/>
        <w:spacing w:before="100" w:after="100"/>
        <w:ind w:start="360"/>
        <w:ind w:firstLine="360"/>
      </w:pPr>
      <w:r>
        <w:rPr/>
      </w:r>
      <w:r>
        <w:rPr/>
      </w:r>
      <w:r>
        <w:t>Chapters 1</w:t>
      </w:r>
      <w:r>
        <w:t xml:space="preserve"> to </w:t>
      </w:r>
      <w:r>
        <w:t>17</w:t>
      </w:r>
      <w:r>
        <w:t xml:space="preserve"> shall be known and may be cited as the "Maine Aeronautics Act".</w:t>
      </w:r>
      <w:r>
        <w:t xml:space="preserve">  </w:t>
      </w:r>
      <w:r xmlns:wp="http://schemas.openxmlformats.org/drawingml/2010/wordprocessingDrawing" xmlns:w15="http://schemas.microsoft.com/office/word/2012/wordml">
        <w:rPr>
          <w:rFonts w:ascii="Arial" w:hAnsi="Arial" w:cs="Arial"/>
          <w:sz w:val="22"/>
          <w:szCs w:val="22"/>
        </w:rPr>
        <w:t xml:space="preserve">[PL 1977, c. 678,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