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Department of Administrative and Financial Services; commissioner</w:t>
      </w:r>
    </w:p>
    <w:p>
      <w:pPr>
        <w:jc w:val="both"/>
        <w:spacing w:before="100" w:after="100"/>
        <w:ind w:start="360"/>
        <w:ind w:firstLine="360"/>
      </w:pPr>
      <w:r>
        <w:rPr/>
      </w:r>
      <w:r>
        <w:rPr/>
      </w:r>
      <w:r>
        <w:t xml:space="preserve">The Department of Administrative and Financial Services is established as the principal fiscal department of State Government and shall exercise such powers and perform such duties as are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is under the supervision and control of the Commissioner of Administrative and Financial Services appointed by the Governor, subject to review by the joint standing committee of the Legislature having jurisdiction over appropriations and financial affairs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shall coordinate financial planning and programming activities of departments and agencies of the State Government for review and action by the Governor, prepare and report to the Governor and to the Legislature financial data and statistics and administer under the direction of the State Liquor and Lottery Commission the laws relating to legalized alcoholic beverages within this State.  The department consists of the bureaus and organizations referenced in </w:t>
      </w:r>
      <w:r>
        <w:t>section 947‑B</w:t>
      </w:r>
      <w:r>
        <w:t xml:space="preserve">, and the State Liquor and Lottery Commission.</w:t>
      </w:r>
      <w:r>
        <w:t xml:space="preserve">  </w:t>
      </w:r>
      <w:r xmlns:wp="http://schemas.openxmlformats.org/drawingml/2010/wordprocessingDrawing" xmlns:w15="http://schemas.microsoft.com/office/word/2012/wordml">
        <w:rPr>
          <w:rFonts w:ascii="Arial" w:hAnsi="Arial" w:cs="Arial"/>
          <w:sz w:val="22"/>
          <w:szCs w:val="22"/>
        </w:rPr>
        <w:t xml:space="preserve">[PL 1997,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§1 (AMD). PL 1969, c. 504, §9 (AMD). PL 1971, c. 615, §1 (RPR). PL 1973, c. 537, §3 (AMD). PL 1975, c. 771, §51 (AMD). PL 1985, c. 785, §A21 (RPR). PL 1987, c. 402, §A11 (AMD). PL 1991, c. 780, §Y20 (AMD). PL 1997, c. 373,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§281. Department of Administrative and Financial Services;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Department of Administrative and Financial Services;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§281. DEPARTMENT OF ADMINISTRATIVE AND FINANCIAL SERVICES;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