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12007</w:t>
        <w:t xml:space="preserve">.  </w:t>
      </w:r>
      <w:r>
        <w:rPr>
          <w:b/>
        </w:rPr>
        <w:t xml:space="preserve">Clerk of board</w:t>
      </w:r>
    </w:p>
    <w:p>
      <w:pPr>
        <w:jc w:val="both"/>
        <w:spacing w:before="100" w:after="0"/>
        <w:ind w:start="360"/>
        <w:ind w:firstLine="360"/>
      </w:pPr>
      <w:r>
        <w:rPr>
          <w:b/>
        </w:rPr>
        <w:t>1</w:t>
        <w:t xml:space="preserve">.  </w:t>
      </w:r>
      <w:r>
        <w:rPr>
          <w:b/>
        </w:rPr>
        <w:t xml:space="preserve">Appointment.</w:t>
        <w:t xml:space="preserve"> </w:t>
      </w:r>
      <w:r>
        <w:t xml:space="preserve"> </w:t>
      </w:r>
      <w:r>
        <w:t xml:space="preserve">Each board shall appoint a clerk who is responsible for submitting reports to and responding to the Secretary of State and the Commissioner of Administrative and Financial Services.  Each clerk shall provide the Secretary of State and Commissioner of Administrative and Financial Services with the mailing address of the board and the clerk as required in this chapter.  Each clerk shall respond and report in a timely manner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§104 (AMD).]</w:t>
      </w:r>
    </w:p>
    <w:p>
      <w:pPr>
        <w:jc w:val="both"/>
        <w:spacing w:before="100" w:after="0"/>
        <w:ind w:start="360"/>
        <w:ind w:firstLine="360"/>
      </w:pPr>
      <w:r>
        <w:rPr>
          <w:b/>
        </w:rPr>
        <w:t>2</w:t>
        <w:t xml:space="preserve">.  </w:t>
      </w:r>
      <w:r>
        <w:rPr>
          <w:b/>
        </w:rPr>
        <w:t xml:space="preserve">Penalty.</w:t>
        <w:t xml:space="preserve"> </w:t>
      </w:r>
      <w:r>
        <w:t xml:space="preserve"> </w:t>
      </w:r>
      <w:r>
        <w:t xml:space="preserve">Any board which fails to appoint a clerk and report as required shall be subject to the penalties in </w:t>
      </w:r>
      <w:r>
        <w:t>section 12006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PL 1991, c. 780, §Y104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§12007. Clerk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§12007. Clerk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§12007. CLERK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