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 Classifications and definitions of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 CLASSIFICATIONS AND DEFINITIONS OF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