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12"/>
        <w:gridCol w:w="3096"/>
        <w:gridCol w:w="1930"/>
        <w:gridCol w:w="1728"/>
      </w:tblGrid>
      <w:tr>
        <w:trPr>
          <w:cantSplit/>
        </w:trPr>
        <w:tc>
          <w:tcPr>
            <w:tcW w:w="1512" w:type="dxa"/>
          </w:tcPr>
          <w:p>
            <w:pPr>
              <w:jc w:val="left"/>
            </w:pPr>
            <w:r>
              <w:t xml:space="preserve">State Government</w:t>
            </w:r>
          </w:p>
        </w:tc>
        <w:tc>
          <w:tcPr>
            <w:tcW w:w="3096" w:type="dxa"/>
          </w:tcPr>
          <w:p>
            <w:pPr>
              <w:jc w:val="left"/>
            </w:pPr>
            <w:r>
              <w:t xml:space="preserve">Maine-Canadian Legislative Advisory Commission</w:t>
            </w:r>
          </w:p>
        </w:tc>
        <w:tc>
          <w:tcPr>
            <w:tcW w:w="1930" w:type="dxa"/>
          </w:tcPr>
          <w:p>
            <w:pPr>
              <w:jc w:val="left"/>
            </w:pPr>
            <w:r>
              <w:t xml:space="preserve"> Expenses Only</w:t>
            </w:r>
          </w:p>
        </w:tc>
        <w:tc>
          <w:tcPr>
            <w:tcW w:w="1728"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§12004-K. Intergovernmental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§12004-K. INTERGOVERNMENTAL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