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12004-J</w:t>
        <w:t xml:space="preserve">.  </w:t>
      </w:r>
      <w:r>
        <w:rPr>
          <w:b/>
        </w:rPr>
        <w:t xml:space="preserve">Independent advisory boards</w:t>
      </w:r>
    </w:p>
    <w:p>
      <w:pPr>
        <w:jc w:val="both"/>
        <w:spacing w:before="100" w:after="100"/>
        <w:ind w:start="360"/>
        <w:ind w:firstLine="360"/>
      </w:pPr>
      <w:r>
        <w:rPr/>
      </w:r>
      <w:r>
        <w:rPr/>
      </w:r>
      <w:r>
        <w:t xml:space="preserve">Independent advisory boards are boards which are established by law as independent organizations, which have a separate line item in the budget document, and to which money is allocated or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responsibilities of those boards are to evaluate the performance of departments or agencies of State Government, recommend policies and procedures to the Governor and Legislature for adoption, serve in an advocacy capacity for a specific group or sector of the population or hold hearings for the evaluation of policies and issues.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Employment: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 </w:t>
            </w:r>
          </w:p>
        </w:tc>
        <w:tc>
          <w:tcPr>
            <w:tcW w:w="3427" w:type="dxa"/>
          </w:tcPr>
          <w:p>
            <w:pPr>
              <w:jc w:val="left"/>
            </w:pPr>
            <w:r>
              <w:t xml:space="preserve">Maine Agriculture, Food </w:t>
            </w:r>
          </w:p>
          <w:p>
            <w:pPr>
              <w:jc w:val="left"/>
            </w:pPr>
            <w:r>
              <w:t xml:space="preserve">System and Forest Products Infrastructure Investment Advisory Board</w:t>
            </w:r>
          </w:p>
        </w:tc>
        <w:tc>
          <w:tcPr>
            <w:tcW w:w="2074" w:type="dxa"/>
          </w:tcPr>
          <w:p>
            <w:pPr>
              <w:jc w:val="left"/>
            </w:pPr>
            <w:r>
              <w:t xml:space="preserve">Expenses Only</w:t>
            </w:r>
          </w:p>
        </w:tc>
        <w:tc>
          <w:tcPr>
            <w:tcW w:w="1886" w:type="dxa"/>
          </w:tcPr>
          <w:p>
            <w:pPr>
              <w:jc w:val="right"/>
            </w:pPr>
            <w:r>
              <w:t>7 MRSA §320‑C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§1 (NEW).]</w:t>
      </w:r>
    </w:p>
    <w:p>
      <w:pPr>
        <w:jc w:val="both"/>
        <w:spacing w:before="100" w:after="0"/>
        <w:ind w:start="360"/>
        <w:ind w:firstLine="360"/>
      </w:pPr>
      <w:r>
        <w:rPr>
          <w:b/>
        </w:rPr>
        <w:t>2</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§3 (RP).]</w:t>
      </w:r>
    </w:p>
    <w:p>
      <w:pPr>
        <w:jc w:val="both"/>
        <w:spacing w:before="100" w:after="0"/>
        <w:ind w:start="360"/>
        <w:ind w:firstLine="360"/>
      </w:pPr>
      <w:r>
        <w:rPr>
          <w:b/>
        </w:rPr>
        <w:t>2-A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§22 (RP).]</w:t>
      </w:r>
    </w:p>
    <w:p>
      <w:pPr>
        <w:jc w:val="both"/>
        <w:spacing w:before="100" w:after="0"/>
        <w:ind w:start="360"/>
        <w:ind w:firstLine="360"/>
      </w:pPr>
      <w:r>
        <w:rPr>
          <w:b/>
        </w:rPr>
        <w:t>3</w:t>
        <w:t xml:space="preserve">.  </w:t>
      </w:r>
      <w:r>
        <w:rPr>
          <w:b/>
        </w:rPr>
        <w:t xml:space="preserve">Human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 §5 (RP).]</w:t>
      </w:r>
    </w:p>
    <w:p>
      <w:pPr>
        <w:jc w:val="both"/>
        <w:spacing w:before="100" w:after="0"/>
        <w:ind w:start="360"/>
        <w:ind w:firstLine="360"/>
      </w:pPr>
      <w:r>
        <w:rPr>
          <w:b/>
        </w:rPr>
        <w:t>4</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5</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D, §2 (RP).]</w:t>
      </w:r>
    </w:p>
    <w:p>
      <w:pPr>
        <w:jc w:val="both"/>
        <w:spacing w:before="100" w:after="0"/>
        <w:ind w:start="360"/>
        <w:ind w:firstLine="360"/>
      </w:pPr>
      <w:r>
        <w:rPr>
          <w:b/>
        </w:rPr>
        <w:t>6</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7</w:t>
        <w:t xml:space="preserve">.  </w:t>
      </w:r>
      <w:r>
        <w:rPr>
          <w:b/>
        </w:rPr>
        <w:t xml:space="preserve">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§19 (RP).]</w:t>
      </w:r>
    </w:p>
    <w:p>
      <w:pPr>
        <w:jc w:val="both"/>
        <w:spacing w:before="100" w:after="0"/>
        <w:ind w:start="360"/>
        <w:ind w:firstLine="360"/>
      </w:pPr>
      <w:r>
        <w:rPr>
          <w:b/>
        </w:rPr>
        <w:t>8</w:t>
        <w:t xml:space="preserve">.  </w:t>
      </w:r>
      <w:r>
        <w:rPr>
          <w:b/>
        </w:rPr>
        <w:t xml:space="preserve">Veterans'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273, §1 (RP).]</w:t>
      </w:r>
    </w:p>
    <w:p>
      <w:pPr>
        <w:jc w:val="both"/>
        <w:spacing w:before="100" w:after="0"/>
        <w:ind w:start="360"/>
        <w:ind w:firstLine="360"/>
      </w:pPr>
      <w:r>
        <w:rPr>
          <w:b/>
        </w:rPr>
        <w:t>9</w:t>
        <w:t xml:space="preserve">.  </w:t>
      </w:r>
      <w:r>
        <w:rPr>
          <w:b/>
        </w:rPr>
        <w:t xml:space="preserve">Families, Health and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139, §1 (RP).]</w:t>
      </w:r>
    </w:p>
    <w:p>
      <w:pPr>
        <w:jc w:val="both"/>
        <w:spacing w:before="100" w:after="0"/>
        <w:ind w:start="360"/>
        <w:ind w:firstLine="360"/>
      </w:pPr>
      <w:r>
        <w:rPr>
          <w:b/>
        </w:rPr>
        <w:t>10</w:t>
        <w:t xml:space="preserve">.  </w:t>
      </w:r>
      <w:r>
        <w:rPr>
          <w:b/>
        </w:rPr>
        <w:t xml:space="preserve">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 §2 (RP); PL 2009, c. 369, Pt. A, §10 (RP).]</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Victims' Compensation Board</w:t>
            </w:r>
          </w:p>
        </w:tc>
        <w:tc>
          <w:tcPr>
            <w:tcW w:w="2074" w:type="dxa"/>
          </w:tcPr>
          <w:p>
            <w:pPr>
              <w:jc w:val="left"/>
            </w:pPr>
            <w:r>
              <w:t xml:space="preserve">Legislative Per Diem and Expenses</w:t>
            </w:r>
          </w:p>
        </w:tc>
        <w:tc>
          <w:tcPr>
            <w:tcW w:w="1886" w:type="dxa"/>
          </w:tcPr>
          <w:p>
            <w:pPr>
              <w:jc w:val="right"/>
            </w:pPr>
            <w:r>
              <w:t>5 MRSA §3360‑A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§2 (NEW).]</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Fire Protection Services</w:t>
            </w:r>
          </w:p>
        </w:tc>
        <w:tc>
          <w:tcPr>
            <w:tcW w:w="3427" w:type="dxa"/>
          </w:tcPr>
          <w:p>
            <w:pPr>
              <w:jc w:val="left"/>
            </w:pPr>
            <w:r>
              <w:t xml:space="preserve">Maine Fire Protection Services Commission</w:t>
            </w:r>
          </w:p>
        </w:tc>
        <w:tc>
          <w:tcPr>
            <w:tcW w:w="2074" w:type="dxa"/>
          </w:tcPr>
          <w:p>
            <w:pPr>
              <w:jc w:val="left"/>
            </w:pPr>
            <w:r>
              <w:t xml:space="preserve">Legislative Per Diem and Expenses</w:t>
            </w:r>
          </w:p>
        </w:tc>
        <w:tc>
          <w:tcPr>
            <w:tcW w:w="1886" w:type="dxa"/>
          </w:tcPr>
          <w:p>
            <w:pPr>
              <w:jc w:val="right"/>
            </w:pPr>
            <w:r>
              <w:t>5 MRSA §3371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§2 (NEW).]</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Sexual Assault Forensic Examiner Advisory Board</w:t>
            </w:r>
          </w:p>
        </w:tc>
        <w:tc>
          <w:tcPr>
            <w:tcW w:w="2074" w:type="dxa"/>
          </w:tcPr>
          <w:p>
            <w:pPr>
              <w:jc w:val="left"/>
            </w:pPr>
            <w:r>
              <w:t xml:space="preserve">Expenses Only</w:t>
            </w:r>
          </w:p>
        </w:tc>
        <w:tc>
          <w:tcPr>
            <w:tcW w:w="1886" w:type="dxa"/>
          </w:tcPr>
          <w:p>
            <w:pPr>
              <w:jc w:val="right"/>
            </w:pPr>
            <w:r>
              <w:t>5 MRSA §3360‑N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§2 (NEW).]</w:t>
      </w:r>
    </w:p>
    <w:p>
      <w:pPr>
        <w:jc w:val="both"/>
        <w:spacing w:before="100" w:after="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Freedom of Access</w:t>
            </w:r>
          </w:p>
        </w:tc>
        <w:tc>
          <w:tcPr>
            <w:tcW w:w="3427" w:type="dxa"/>
          </w:tcPr>
          <w:p>
            <w:pPr>
              <w:jc w:val="left"/>
            </w:pPr>
            <w:r>
              <w:t xml:space="preserve">Right To Know Advisory Committee</w:t>
            </w:r>
          </w:p>
        </w:tc>
        <w:tc>
          <w:tcPr>
            <w:tcW w:w="2074" w:type="dxa"/>
          </w:tcPr>
          <w:p>
            <w:pPr>
              <w:jc w:val="left"/>
            </w:pPr>
            <w:r>
              <w:t xml:space="preserve">Legislative Per Diem and Expenses for Legislators and Expenses Only for Certain Members</w:t>
            </w:r>
          </w:p>
        </w:tc>
        <w:tc>
          <w:tcPr>
            <w:tcW w:w="1886" w:type="dxa"/>
          </w:tcPr>
          <w:p>
            <w:pPr>
              <w:jc w:val="right"/>
            </w:pPr>
            <w:r>
              <w:t>1 MRSA §411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§7 (NEW).]</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Services Oversight and Advisory Board</w:t>
            </w:r>
          </w:p>
        </w:tc>
        <w:tc>
          <w:tcPr>
            <w:tcW w:w="2074" w:type="dxa"/>
          </w:tcPr>
          <w:p>
            <w:pPr>
              <w:jc w:val="left"/>
            </w:pPr>
            <w:r>
              <w:t xml:space="preserve">Per diem for noncompensated members, as specified by board rule or policy, and expenses for all members of the board</w:t>
            </w:r>
          </w:p>
        </w:tc>
        <w:tc>
          <w:tcPr>
            <w:tcW w:w="1886" w:type="dxa"/>
          </w:tcPr>
          <w:p>
            <w:pPr>
              <w:jc w:val="right"/>
            </w:pPr>
            <w:r>
              <w:t>34‑B MRSA §1223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 (AMD).]</w:t>
      </w:r>
    </w:p>
    <w:p>
      <w:pPr>
        <w:jc w:val="both"/>
        <w:spacing w:before="100" w:after="0"/>
        <w:ind w:start="360"/>
        <w:ind w:firstLine="360"/>
      </w:pPr>
      <w:r>
        <w:rPr>
          <w:b/>
        </w:rPr>
        <w:t>16</w:t>
        <w:t xml:space="preserve">.  </w:t>
      </w:r>
      <w:r>
        <w:rPr>
          <w:b/>
        </w:rPr>
        <w:t xml:space="preserve">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§2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 Rehabilitation Services</w:t>
            </w:r>
          </w:p>
        </w:tc>
        <w:tc>
          <w:tcPr>
            <w:tcW w:w="3427" w:type="dxa"/>
          </w:tcPr>
          <w:p>
            <w:pPr>
              <w:jc w:val="left"/>
            </w:pPr>
            <w:r>
              <w:t xml:space="preserve">Commission for the Deaf, Hard of Hearing and Late Deafened</w:t>
            </w:r>
          </w:p>
        </w:tc>
        <w:tc>
          <w:tcPr>
            <w:tcW w:w="2074" w:type="dxa"/>
          </w:tcPr>
          <w:p>
            <w:pPr>
              <w:jc w:val="left"/>
            </w:pPr>
            <w:r>
              <w:t xml:space="preserve">Expenses Only</w:t>
            </w:r>
          </w:p>
        </w:tc>
        <w:tc>
          <w:tcPr>
            <w:tcW w:w="1886" w:type="dxa"/>
          </w:tcPr>
          <w:p>
            <w:pPr>
              <w:jc w:val="right"/>
            </w:pPr>
            <w:r>
              <w:t>26 MRSA §1413‑C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Children </w:t>
            </w:r>
          </w:p>
        </w:tc>
        <w:tc>
          <w:tcPr>
            <w:tcW w:w="3427" w:type="dxa"/>
          </w:tcPr>
          <w:p>
            <w:pPr>
              <w:jc w:val="left"/>
            </w:pPr>
            <w:r>
              <w:t xml:space="preserve">Maine Children's Cabinet Early Childhood Advisory Council </w:t>
            </w:r>
          </w:p>
        </w:tc>
        <w:tc>
          <w:tcPr>
            <w:tcW w:w="2074" w:type="dxa"/>
          </w:tcPr>
          <w:p>
            <w:pPr>
              <w:jc w:val="left"/>
            </w:pPr>
            <w:r>
              <w:t xml:space="preserve">Legislative Per Diem and Expenses for Legislators </w:t>
            </w:r>
          </w:p>
        </w:tc>
        <w:tc>
          <w:tcPr>
            <w:tcW w:w="1886" w:type="dxa"/>
          </w:tcPr>
          <w:p>
            <w:pPr>
              <w:jc w:val="right"/>
            </w:pPr>
            <w:r>
              <w:t>5 MRSA §24051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§3 (NEW).]</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Racial, Indigenous and Tribal Populations</w:t>
            </w:r>
          </w:p>
        </w:tc>
        <w:tc>
          <w:tcPr>
            <w:tcW w:w="3427" w:type="dxa"/>
          </w:tcPr>
          <w:p>
            <w:pPr>
              <w:jc w:val="left"/>
            </w:pPr>
            <w:r>
              <w:t xml:space="preserve">Permanent Commission on the Status of Racial, Indigenous and Tribal Populations</w:t>
            </w:r>
          </w:p>
        </w:tc>
        <w:tc>
          <w:tcPr>
            <w:tcW w:w="2074" w:type="dxa"/>
          </w:tcPr>
          <w:p>
            <w:pPr>
              <w:jc w:val="left"/>
            </w:pPr>
            <w:r>
              <w:t xml:space="preserve">Legislative Per Diem and Expenses</w:t>
            </w:r>
          </w:p>
        </w:tc>
        <w:tc>
          <w:tcPr>
            <w:tcW w:w="1886" w:type="dxa"/>
          </w:tcPr>
          <w:p>
            <w:pPr>
              <w:jc w:val="right"/>
            </w:pPr>
            <w:r>
              <w:t>5 MRSA §25001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§2 (NEW).]</w:t>
      </w:r>
    </w:p>
    <w:p>
      <w:pPr>
        <w:jc w:val="both"/>
        <w:spacing w:before="100" w:after="0"/>
        <w:ind w:start="360"/>
      </w:pPr>
      <w:r>
        <w:rPr>
          <w:b w:val="true"/>
          <w:i/>
          <w:caps w:val="true"/>
        </w:rPr>
        <w:t xml:space="preserve">Revisor's Note: </w:t>
      </w:r>
      <w:r>
        <w:t>(Subsection 19 as enacted by PL 2021, c. 398, Pt. MMMM, §1 is REALLOCATED TO TITLE 5, SECTION 12004-J, SUBSECTION 20)
</w:t>
      </w:r>
    </w:p>
    <w:p>
      <w:pPr>
        <w:jc w:val="both"/>
        <w:spacing w:before="100" w:after="0"/>
        <w:ind w:start="360"/>
        <w:ind w:firstLine="360"/>
      </w:pPr>
      <w:r>
        <w:rPr>
          <w:b/>
        </w:rPr>
        <w:t>20</w:t>
        <w:t xml:space="preserve">.  </w:t>
      </w:r>
      <w:r>
        <w:rPr>
          <w:b/>
        </w:rPr>
        <w:t>(REALLOCATED FROM T. 5, §12004-J, sub-§19)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800"/>
        <w:gridCol w:w="2520"/>
        <w:gridCol w:w="1670"/>
        <w:gridCol w:w="1944"/>
      </w:tblGrid>
      <w:tr>
        <w:trPr>
          <w:cantSplit/>
        </w:trPr>
        <w:tc>
          <w:tcPr>
            <w:tcW w:w="1800" w:type="dxa"/>
          </w:tcPr>
          <w:p>
            <w:pPr>
              <w:jc w:val="left"/>
            </w:pPr>
            <w:r>
              <w:t xml:space="preserve">Aging and Disability </w:t>
            </w:r>
          </w:p>
        </w:tc>
        <w:tc>
          <w:tcPr>
            <w:tcW w:w="2520" w:type="dxa"/>
          </w:tcPr>
          <w:p>
            <w:pPr>
              <w:jc w:val="left"/>
            </w:pPr>
            <w:r>
              <w:t xml:space="preserve">Aging and Disability Mortality Review Panel </w:t>
            </w:r>
          </w:p>
        </w:tc>
        <w:tc>
          <w:tcPr>
            <w:tcW w:w="1670" w:type="dxa"/>
          </w:tcPr>
          <w:p>
            <w:pPr>
              <w:jc w:val="left"/>
            </w:pPr>
            <w:r>
              <w:t xml:space="preserve">Not Authorized </w:t>
            </w:r>
          </w:p>
        </w:tc>
        <w:tc>
          <w:tcPr>
            <w:tcW w:w="1944" w:type="dxa"/>
          </w:tcPr>
          <w:p>
            <w:pPr>
              <w:jc w:val="right"/>
            </w:pPr>
            <w:r>
              <w:t>22 MRSA §264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§1 (NEW); RR 2021, c. 1, Pt. A, §6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§3 (AMD). PL 1989, c. 49, §3 (AMD). PL 1989, c. 547, §1 (AMD). PL 1989, c. 576, §§2,5 (AMD). PL 1989, c. 878, §D16 (AMD). PL 1991, c. 9, §§I5,S1 (AMD). PL 1991, c. 9, §S1 (AMD). PL 1991, c. 139, §1 (AMD). PL 1991, c. 417, §2 (AMD). PL 1991, c. 622, §§S18,19 (AMD). PL 1991, c. 806, §2 (AMD). RR 1993, c. 1, §14 (COR). PL 1993, c. 273, §1 (AMD). PL 1993, c. 361, §D2 (AMD). PL 1993, c. 664, §§3,4 (AMD). PL 1997, c. 410, §1 (AMD). PL 1997, c. 700, §1 (AMD). PL 1999, c. 731, §AAAA2 (AMD). PL 2001, c. 439, §Z2 (AMD). PL 2005, c. 631, §7 (AMD). PL 2007, c. 356, §3 (AMD). PL 2007, c. 356, §31 (AFF). PL 2007, c. 395, §22 (AMD). PL 2007, c. 683, Pt. A, §1 (AMD). PL 2007, c. 695, Pt. D, §3 (AFF). PL 2009, c. 174, §3 (AMD). PL 2009, c. 213, Pt. Q, §2 (AMD). PL 2009, c. 369, Pt. A, §10 (AMD). PL 2009, c. 652, Pt. A, §4 (AMD). PL 2011, c. 542, Pt. A, §5 (AMD). PL 2019, c. 450, §§2, 3 (AMD). PL 2021, c. 398, Pt. MMMM, §1 (AMD). PL 2021, c. 436, §2 (AMD). PL 2021, c. 483, Pt. KK, §1 (AMD). RR 2021, c. 1, Pt. A,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§12004-J. Independent advisory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§12004-J. Independent advisory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§12004-J. INDEPENDENT ADVISORY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