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chairman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§8 (NEW).]</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his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chairman, a person authorized by statute to give approval or by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§12002-B. COMPENSATION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