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INTERCHANGE OF GOVERNMENT EMPLOYEES</w:t>
      </w:r>
    </w:p>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3003</w:t>
        <w:t xml:space="preserve">.  </w:t>
      </w:r>
      <w:r>
        <w:rPr>
          <w:b/>
        </w:rPr>
        <w:t xml:space="preserve">Authority to interchange employees</w:t>
      </w:r>
    </w:p>
    <w:p>
      <w:pPr>
        <w:jc w:val="both"/>
        <w:spacing w:before="100" w:after="100"/>
        <w:ind w:start="360"/>
        <w:ind w:firstLine="360"/>
      </w:pPr>
      <w:r>
        <w:rPr/>
      </w:r>
      <w:r>
        <w:rPr/>
      </w:r>
      <w:r>
        <w:t xml:space="preserve">Any department, agency or instrumentality of the State, county, city, town, municipality, land-grant college, or college or university operated by the State or any local government is authorized to participate in a program of interchange of employees with departments, agencies or instrumentalities of the Federal Government, another state or locality, or other agencies, municipalities or instrumentalities of this State as a sending or receiving agency, or both.</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Except as provided in </w:t>
      </w:r>
      <w:r>
        <w:t>section 3003‑A</w:t>
      </w:r>
      <w:r>
        <w:t xml:space="preserve">, the period of individual assignment or detail under an interchange program  may not exceed 12 months, nor  may any person be assigned or detailed for more than 12 months during any 36-month period. Details relating to any matter covered in this chapter may be the subject of an agreement between the sending and receiving agencies. Elected officials  may not be assigned from a sending agency nor detailed to a receiving agency.</w:t>
      </w:r>
      <w:r>
        <w:t xml:space="preserve">  </w:t>
      </w:r>
      <w:r xmlns:wp="http://schemas.openxmlformats.org/drawingml/2010/wordprocessingDrawing" xmlns:w15="http://schemas.microsoft.com/office/word/2012/wordml">
        <w:rPr>
          <w:rFonts w:ascii="Arial" w:hAnsi="Arial" w:cs="Arial"/>
          <w:sz w:val="22"/>
          <w:szCs w:val="22"/>
        </w:rPr>
        <w:t xml:space="preserve">[PL 2017,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PL 2017, c. 279, §1 (AMD). </w:t>
      </w:r>
    </w:p>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24 months nor may any educator be assigned under such an interchange program for more than 24 months during any 36-month period.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2017,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w:t>
      </w:r>
    </w:p>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Any employee who participates in an exchange under the terms of this section who suffers disability or death as a result of personal injury arising out of and in the course of an exchange, or sustained in performance of duties in connection therewith, shall be treated, for the purposes of the sending agency's employee compensation program, as an employee, as defined in such Act, who has sustained such injury in the performance of such duty, but shall not receive benefits under that Act for any period for which he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Any employee of a sending agency assigned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as defined in such Act, who has sustained such injury in the performance of such duty, but shall not receive benefits under that Act for any period for which he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309. INTERCHANGE OF GOVERNMENT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