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REPORTERS OF DECISIONS AND TESTIMONY</w:t>
      </w:r>
    </w:p>
    <w:p>
      <w:pPr>
        <w:jc w:val="center"/>
        <w:ind w:start="360"/>
        <w:spacing w:before="300" w:after="300"/>
      </w:pPr>
      <w:r>
        <w:rPr>
          <w:b/>
        </w:rPr>
        <w:t>SUBCHAPTER</w:t>
        <w:t xml:space="preserve"> </w:t>
        <w:t>1</w:t>
      </w:r>
    </w:p>
    <w:p>
      <w:pPr>
        <w:jc w:val="center"/>
        <w:ind w:start="360"/>
        <w:spacing w:before="300" w:after="300"/>
      </w:pPr>
      <w:r>
        <w:rPr>
          <w:b/>
        </w:rPr>
        <w:t xml:space="preserve">REPORTERS IN THE SUPREME AND SUPERIOR COURTS</w:t>
      </w:r>
    </w:p>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jc w:val="center"/>
        <w:ind w:start="360"/>
        <w:spacing w:before="300" w:after="300"/>
      </w:pPr>
      <w:r>
        <w:rPr>
          <w:b/>
        </w:rPr>
        <w:t>SUBCHAPTER</w:t>
        <w:t xml:space="preserve"> </w:t>
        <w:t>2</w:t>
      </w:r>
    </w:p>
    <w:p>
      <w:pPr>
        <w:jc w:val="center"/>
        <w:ind w:start="360"/>
        <w:spacing w:before="300" w:after="300"/>
      </w:pPr>
      <w:r>
        <w:rPr>
          <w:b/>
        </w:rPr>
        <w:t xml:space="preserve">REPORTER OF THE LAW COURT</w:t>
      </w:r>
    </w:p>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jc w:val="center"/>
        <w:ind w:start="360"/>
        <w:spacing w:before="300" w:after="300"/>
      </w:pPr>
      <w:r>
        <w:rPr>
          <w:b/>
        </w:rPr>
        <w:t>SUBCHAPTER</w:t>
        <w:t xml:space="preserve"> </w:t>
        <w:t>3</w:t>
      </w:r>
    </w:p>
    <w:p>
      <w:pPr>
        <w:jc w:val="center"/>
        <w:ind w:start="360"/>
        <w:spacing w:before="300" w:after="300"/>
      </w:pPr>
      <w:r>
        <w:rPr>
          <w:b/>
        </w:rPr>
        <w:t xml:space="preserve">REPORTERS AND TRANSCRIPTS IN PROBATE COURT</w:t>
      </w:r>
    </w:p>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jc w:val="center"/>
        <w:ind w:start="360"/>
        <w:spacing w:before="300" w:after="300"/>
      </w:pPr>
      <w:r>
        <w:rPr>
          <w:b/>
        </w:rPr>
        <w:t>SUBCHAPTER</w:t>
        <w:t xml:space="preserve"> </w:t>
        <w:t>4</w:t>
      </w:r>
    </w:p>
    <w:p>
      <w:pPr>
        <w:jc w:val="center"/>
        <w:ind w:start="360"/>
        <w:spacing w:before="300" w:after="300"/>
      </w:pPr>
      <w:r>
        <w:rPr>
          <w:b/>
        </w:rPr>
        <w:t xml:space="preserve">GENERAL PROVISIONS; ETHICAL STANDARDS</w:t>
      </w:r>
    </w:p>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REPORTERS OF DECISIONS AND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REPORTERS OF DECISIONS AND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15. REPORTERS OF DECISIONS AND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