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949-F</w:t>
        <w:t xml:space="preserve">.  </w:t>
      </w:r>
      <w:r>
        <w:rPr>
          <w:b/>
        </w:rPr>
        <w:t xml:space="preserve">No effect on credentialing and privileging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"Credentialing" means obtaining, verifying and assessing the qualifications of a health practitioner to provide treatment, care or services in or for a health facility.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Health facility autonomy over credentialing and privileging.</w:t>
        <w:t xml:space="preserve"> </w:t>
      </w:r>
      <w:r>
        <w:t xml:space="preserve"> </w:t>
      </w:r>
      <w:r>
        <w:t xml:space="preserve">This chapter does not affect credentialing or privileging standards of a health facility and does not preclude a health facility from waiving or modifying those standards while an emergency declaration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§949-F. No effect on credentialing and privileging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§949-F. No effect on credentialing and privileging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§949-F. NO EFFECT ON CREDENTIALING AND PRIVILEGING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