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MILITARY BUREAU</w:t>
      </w:r>
    </w:p>
    <w:p>
      <w:pPr>
        <w:jc w:val="center"/>
        <w:ind w:start="360"/>
        <w:spacing w:before="300" w:after="300"/>
      </w:pPr>
      <w:r>
        <w:rPr>
          <w:b/>
        </w:rPr>
        <w:t>SUBCHAPTER</w:t>
        <w:t xml:space="preserve"> </w:t>
        <w:t>1</w:t>
      </w:r>
    </w:p>
    <w:p>
      <w:pPr>
        <w:jc w:val="center"/>
        <w:ind w:start="360"/>
        <w:spacing w:before="300" w:after="300"/>
      </w:pPr>
      <w:r>
        <w:rPr>
          <w:b/>
        </w:rPr>
        <w:t xml:space="preserve">ORGANIZATION OF STATE MILITARY FORCES</w:t>
      </w:r>
    </w:p>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jc w:val="center"/>
        <w:ind w:start="360"/>
        <w:spacing w:before="300" w:after="300"/>
      </w:pPr>
      <w:r>
        <w:rPr>
          <w:b/>
        </w:rPr>
        <w:t>SUBCHAPTER</w:t>
        <w:t xml:space="preserve"> </w:t>
        <w:t>3</w:t>
      </w:r>
    </w:p>
    <w:p>
      <w:pPr>
        <w:jc w:val="center"/>
        <w:ind w:start="360"/>
        <w:spacing w:before="300" w:after="300"/>
      </w:pPr>
      <w:r>
        <w:rPr>
          <w:b/>
        </w:rPr>
        <w:t xml:space="preserve">ACTIVATION OF STATE MILITARY FORCES</w:t>
      </w:r>
    </w:p>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jc w:val="center"/>
        <w:ind w:start="360"/>
        <w:spacing w:before="300" w:after="300"/>
      </w:pPr>
      <w:r>
        <w:rPr>
          <w:b/>
        </w:rPr>
        <w:t>SUBCHAPTER</w:t>
        <w:t xml:space="preserve"> </w:t>
        <w:t>4</w:t>
      </w:r>
    </w:p>
    <w:p>
      <w:pPr>
        <w:jc w:val="center"/>
        <w:ind w:start="360"/>
        <w:spacing w:before="300" w:after="300"/>
      </w:pPr>
      <w:r>
        <w:rPr>
          <w:b/>
        </w:rPr>
        <w:t xml:space="preserve">SPECIAL PROVISIONS GOVERNING STATE MILITARY FORCES OTHER THAN THE NATIONAL GUARD</w:t>
      </w:r>
    </w:p>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jc w:val="center"/>
        <w:ind w:start="360"/>
        <w:spacing w:before="300" w:after="300"/>
      </w:pPr>
      <w:r>
        <w:rPr>
          <w:b/>
        </w:rPr>
        <w:t>SUBCHAPTER</w:t>
        <w:t xml:space="preserve"> </w:t>
        <w:t>5</w:t>
      </w:r>
    </w:p>
    <w:p>
      <w:pPr>
        <w:jc w:val="center"/>
        <w:ind w:start="360"/>
        <w:spacing w:before="300" w:after="300"/>
      </w:pPr>
      <w:r>
        <w:rPr>
          <w:b/>
        </w:rPr>
        <w:t xml:space="preserve">UNIFORMS AND EQUIPMENT</w:t>
      </w:r>
    </w:p>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jc w:val="center"/>
        <w:ind w:start="360"/>
        <w:spacing w:before="300" w:after="300"/>
      </w:pPr>
      <w:r>
        <w:rPr>
          <w:b/>
        </w:rPr>
        <w:t>SUBCHAPTER</w:t>
        <w:t xml:space="preserve"> </w:t>
        <w:t>6</w:t>
      </w:r>
    </w:p>
    <w:p>
      <w:pPr>
        <w:jc w:val="center"/>
        <w:ind w:start="360"/>
        <w:spacing w:before="300" w:after="300"/>
      </w:pPr>
      <w:r>
        <w:rPr>
          <w:b/>
        </w:rPr>
        <w:t xml:space="preserve">CONSTRUCTION OF MILITARY FACILITIES</w:t>
      </w:r>
    </w:p>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jc w:val="center"/>
        <w:ind w:start="360"/>
        <w:spacing w:before="300" w:after="300"/>
      </w:pPr>
      <w:r>
        <w:rPr>
          <w:b/>
        </w:rPr>
        <w:t>SUBCHAPTER</w:t>
        <w:t xml:space="preserve"> </w:t>
        <w:t>7</w:t>
      </w:r>
    </w:p>
    <w:p>
      <w:pPr>
        <w:jc w:val="center"/>
        <w:ind w:start="360"/>
        <w:spacing w:before="300" w:after="300"/>
      </w:pPr>
      <w:r>
        <w:rPr>
          <w:b/>
        </w:rPr>
        <w:t xml:space="preserve">PENALTIES</w:t>
      </w:r>
    </w:p>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jc w:val="center"/>
        <w:ind w:start="360"/>
        <w:spacing w:before="300" w:after="300"/>
      </w:pPr>
      <w:r>
        <w:rPr>
          <w:b/>
        </w:rPr>
        <w:t>SUBCHAPTER</w:t>
        <w:t xml:space="preserve"> </w:t>
        <w:t>7-A</w:t>
      </w:r>
    </w:p>
    <w:p>
      <w:pPr>
        <w:jc w:val="center"/>
        <w:ind w:start="360"/>
        <w:spacing w:before="300" w:after="300"/>
      </w:pPr>
      <w:r>
        <w:rPr>
          <w:b/>
        </w:rPr>
        <w:t xml:space="preserve">MAINE NATIONAL GUARD EDUCATION ASSISTANCE PROGRAM</w:t>
      </w:r>
    </w:p>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center"/>
        <w:ind w:start="360"/>
        <w:spacing w:before="300" w:after="300"/>
      </w:pPr>
      <w:r>
        <w:rPr>
          <w:b/>
        </w:rPr>
        <w:t>SUBCHAPTER</w:t>
        <w:t xml:space="preserve"> </w:t>
        <w:t>8</w:t>
      </w:r>
    </w:p>
    <w:p>
      <w:pPr>
        <w:jc w:val="center"/>
        <w:ind w:start="360"/>
        <w:spacing w:before="300" w:after="300"/>
      </w:pPr>
      <w:r>
        <w:rPr>
          <w:b/>
        </w:rPr>
        <w:t xml:space="preserve">MISCELLANEOUS PROVISIONS</w:t>
      </w:r>
    </w:p>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jc w:val="both"/>
        <w:spacing w:before="100" w:after="100"/>
        <w:ind w:start="1080" w:hanging="720"/>
      </w:pPr>
      <w:r>
        <w:rPr>
          <w:b/>
        </w:rPr>
        <w:t>§</w:t>
        <w:t>384</w:t>
        <w:t xml:space="preserve">.  </w:t>
      </w:r>
      <w:r>
        <w:rPr>
          <w:b/>
        </w:rPr>
        <w:t xml:space="preserve">Flag to be carried</w:t>
      </w:r>
    </w:p>
    <w:p>
      <w:pPr>
        <w:jc w:val="both"/>
        <w:spacing w:before="100" w:after="100"/>
        <w:ind w:start="360"/>
        <w:ind w:firstLine="360"/>
      </w:pPr>
      <w:r>
        <w:rPr/>
      </w:r>
      <w:r>
        <w:rPr/>
      </w:r>
      <w:r>
        <w:t xml:space="preserve">The flag of the State to be carried by the National Guard shall be the same as the flag described in </w:t>
      </w:r>
      <w:r>
        <w:t>Title 1, section 206</w:t>
      </w:r>
      <w:r>
        <w:t xml:space="preserve">,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jc w:val="center"/>
        <w:ind w:start="360"/>
        <w:spacing w:before="300" w:after="300"/>
      </w:pPr>
      <w:r>
        <w:rPr>
          <w:b/>
        </w:rPr>
        <w:t>SUBCHAPTER</w:t>
        <w:t xml:space="preserve"> </w:t>
        <w:t>9</w:t>
      </w:r>
    </w:p>
    <w:p>
      <w:pPr>
        <w:jc w:val="center"/>
        <w:ind w:start="360"/>
        <w:spacing w:before="300" w:after="300"/>
      </w:pPr>
      <w:r>
        <w:rPr>
          <w:b/>
        </w:rPr>
        <w:t xml:space="preserve">MAINE MILITARY AUTHORITY</w:t>
      </w:r>
    </w:p>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MILITARY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MILITARY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3. MILITARY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