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4366-B</w:t>
        <w:t xml:space="preserve">.  </w:t>
      </w:r>
      <w:r>
        <w:rPr>
          <w:b/>
        </w:rPr>
        <w:t xml:space="preserve">Importation of  unstamped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only a licensed distributor may import unstamped cigarettes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2</w:t>
        <w:t xml:space="preserve">.  </w:t>
      </w:r>
      <w:r>
        <w:rPr>
          <w:b/>
        </w:rPr>
        <w:t xml:space="preserve">Exception for personal use.</w:t>
        <w:t xml:space="preserve"> </w:t>
      </w:r>
      <w:r>
        <w:t xml:space="preserve"> </w:t>
      </w:r>
      <w:r>
        <w:t xml:space="preserve">An individual who is not a licensed distributor may transport cigarettes into this State and may transport cigarettes from place to place within this State for the individual's personal use in a quantity not greater than 2 cartons.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more than 2 cartons of unstamped cigarettes by a person who is not a licensed distributor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§14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1997, c. 668, §27 (AMD). PL 2003, c. 452, §U14 (AMD). PL 2003, c. 452, §X2 (AFF). PL 2007, c. 438,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§4366-B. Importation of  unstamped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§4366-B. Importation of  unstamped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§4366-B. IMPORTATION OF  UNSTAMPED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