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578, §4 (AMD); PL 2021, c. 658, §286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§4 (AMD); PL 2021, c. 658, §286 (AMD); PL 2021, c. 669, §5 (REV).]</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§1811. Sales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Sales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 SALES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