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827. WITHHOLDING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