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CIGARETTE TAX</w:t>
      </w:r>
    </w:p>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State Purchasing Agent.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w:t>
      </w:r>
    </w:p>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703. CIGARETTE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CIGARETTE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703. CIGARETTE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