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457</w:t>
      </w:r>
    </w:p>
    <w:p>
      <w:pPr>
        <w:jc w:val="center"/>
        <w:ind w:start="360"/>
        <w:spacing w:before="300" w:after="300"/>
      </w:pPr>
      <w:r>
        <w:rPr>
          <w:b/>
        </w:rPr>
        <w:t xml:space="preserve">TAXATION OF MOTOR FUELS CONSUMED BY INTERSTATE BUSES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3091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3093</w:t>
        <w:t xml:space="preserve">.  </w:t>
      </w:r>
      <w:r>
        <w:rPr>
          <w:b/>
        </w:rPr>
        <w:t xml:space="preserve">Governing principle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3094</w:t>
        <w:t xml:space="preserve">.  </w:t>
      </w:r>
      <w:r>
        <w:rPr>
          <w:b/>
        </w:rPr>
        <w:t xml:space="preserve">How fuel consumed to be ascertained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3095</w:t>
        <w:t xml:space="preserve">.  </w:t>
      </w:r>
      <w:r>
        <w:rPr>
          <w:b/>
        </w:rPr>
        <w:t xml:space="preserve">Imposition of tax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3096</w:t>
        <w:t xml:space="preserve">.  </w:t>
      </w:r>
      <w:r>
        <w:rPr>
          <w:b/>
        </w:rPr>
        <w:t xml:space="preserve">Reports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3097</w:t>
        <w:t xml:space="preserve">.  </w:t>
      </w:r>
      <w:r>
        <w:rPr>
          <w:b/>
        </w:rPr>
        <w:t xml:space="preserve">Credit for payment of fuel taxes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3098</w:t>
        <w:t xml:space="preserve">.  </w:t>
      </w:r>
      <w:r>
        <w:rPr>
          <w:b/>
        </w:rPr>
        <w:t xml:space="preserve">Additional tax or refund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3099</w:t>
        <w:t xml:space="preserve">.  </w:t>
      </w:r>
      <w:r>
        <w:rPr>
          <w:b/>
        </w:rPr>
        <w:t xml:space="preserve">Entry into force and 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3100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3151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jc w:val="both"/>
        <w:spacing w:before="100" w:after="100"/>
        <w:ind w:start="1080" w:hanging="720"/>
      </w:pPr>
      <w:r>
        <w:rPr>
          <w:b/>
        </w:rPr>
        <w:t>§</w:t>
        <w:t>3153</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457. TAXATION OF MOTOR FUELS CONSUMED BY INTERSTATE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457. TAXATION OF MOTOR FUELS CONSUMED BY INTERSTATE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457. TAXATION OF MOTOR FUELS CONSUMED BY INTERSTATE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