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9214</w:t>
        <w:t xml:space="preserve">.  </w:t>
      </w:r>
      <w:r>
        <w:rPr>
          <w:b/>
        </w:rPr>
        <w:t xml:space="preserve">No franchise fees</w:t>
      </w:r>
    </w:p>
    <w:p>
      <w:pPr>
        <w:jc w:val="both"/>
        <w:spacing w:before="100" w:after="100"/>
        <w:ind w:start="360"/>
        <w:ind w:firstLine="360"/>
      </w:pPr>
      <w:r>
        <w:rPr/>
      </w:r>
      <w:r>
        <w:rPr/>
      </w:r>
      <w:r>
        <w:t xml:space="preserve">The authority may not establish or collect a franchise fee pursuant to 47 United States Code, Section 542 or </w:t>
      </w:r>
      <w:r>
        <w:t>Title 30‑A, section 3008</w:t>
      </w:r>
      <w:r>
        <w:t xml:space="preserve">.  If any tax, fee, charge or assessment or portion thereof established by the authority is held by a court of competent jurisdiction to be a franchise fee, the imposition of that tax, fee, charge or assessment or portion thereof is unenforceable.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§9214. No franchise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§9214. No franchise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§9214. NO FRANCHISE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