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§758. PRECAUTIONARY SAFETY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