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§4517. PRIVATE NATURAL GAS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