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4511</w:t>
        <w:t xml:space="preserve">.  </w:t>
      </w:r>
      <w:r>
        <w:rPr>
          <w:b/>
        </w:rPr>
        <w:t xml:space="preserve">Submission of map to commission</w:t>
      </w:r>
    </w:p>
    <w:p>
      <w:pPr>
        <w:jc w:val="both"/>
        <w:spacing w:before="100" w:after="100"/>
        <w:ind w:start="360"/>
        <w:ind w:firstLine="360"/>
      </w:pPr>
      <w:r>
        <w:rPr/>
      </w:r>
      <w:r>
        <w:rPr/>
      </w:r>
      <w:r>
        <w:t xml:space="preserve">A natural gas pipeline utility, as soon as it has definitely established a route, but in any event not less than 30 days before the commencement of actual construction or installation, shall submit to the commission and to the governing body of each municipality through which it is proposed that the route shall pass, for their information, a map approved as to form by the commission that clearly sets forth the proposed route.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§4511. Submission of map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§4511. Submission of map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§4511. SUBMISSION OF MAP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