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4176</w:t>
        <w:t xml:space="preserve">.  </w:t>
      </w:r>
      <w:r>
        <w:rPr>
          <w:b/>
        </w:rPr>
        <w:t xml:space="preserve">Inconsistent provisions of other laws superseded</w:t>
      </w:r>
    </w:p>
    <w:p>
      <w:pPr>
        <w:jc w:val="both"/>
        <w:spacing w:before="100" w:after="100"/>
        <w:ind w:start="360"/>
        <w:ind w:firstLine="360"/>
      </w:pPr>
      <w:r>
        <w:rPr/>
      </w:r>
      <w:r>
        <w:rPr/>
      </w:r>
      <w:r>
        <w:t xml:space="preserve">Insofar as the provisions of this chapter are inconsistent with the provisions of any special act or any charter of any participating municipality, this chapter is controlling.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622, §S36 (RP).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§4176. Inconsistent provisions of other laws superseded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§4176. INCONSISTENT PROVISIONS OF OTHER LAWS SUPERSEDED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