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3902</w:t>
        <w:t xml:space="preserve">.  </w:t>
      </w:r>
      <w:r>
        <w:rPr>
          <w:b/>
        </w:rPr>
        <w:t xml:space="preserve">Purpose</w:t>
      </w:r>
    </w:p>
    <w:p>
      <w:pPr>
        <w:jc w:val="both"/>
        <w:spacing w:before="100" w:after="100"/>
        <w:ind w:start="360"/>
        <w:ind w:firstLine="360"/>
      </w:pPr>
      <w:r>
        <w:rPr/>
      </w:r>
      <w:r>
        <w:rPr/>
      </w:r>
      <w:r>
        <w:t xml:space="preserve">The purpose of each municipal power district formed under this chapter is to generate, supply or extend the efficient use of electricity for public purposes and for the health, welfare, comfort and convenience of the inhabitants of the district.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§3902.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