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Fees for excavation permits</w:t>
      </w:r>
    </w:p>
    <w:p>
      <w:pPr>
        <w:jc w:val="both"/>
        <w:spacing w:before="100" w:after="100"/>
        <w:ind w:start="360"/>
        <w:ind w:firstLine="360"/>
      </w:pPr>
      <w:r>
        <w:rPr/>
      </w:r>
      <w:r>
        <w:rPr/>
      </w:r>
      <w:r>
        <w:t xml:space="preserve">The following provisions apply to fees for excavation permits.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Fees set by municipal officers.</w:t>
        <w:t xml:space="preserve"> </w:t>
      </w:r>
      <w:r>
        <w:t xml:space="preserve"> </w:t>
      </w:r>
      <w:r>
        <w:t xml:space="preserve">The municipal officers having the duty to maintain streets may establish a schedule of fees for granting permits for making an excavation within the paved portion of a street or highway.  The schedule of fees may not exceed the reasonable cost of replacing the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fee.</w:t>
        <w:t xml:space="preserve"> </w:t>
      </w:r>
      <w:r>
        <w:t xml:space="preserve"> </w:t>
      </w:r>
      <w:r>
        <w:t xml:space="preserve">The applicant shall pay to the treasurer of the municipality granting the permit the fees established by the municipal officers.  The fees shall be regularly accounted for and shall constitute a special fund for the replacement of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§2510. Fees for excavation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Fees for excavation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§2510. FEES FOR EXCAVATION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