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w:t>
        <w:t xml:space="preserve">.  </w:t>
      </w:r>
      <w:r>
        <w:rPr>
          <w:b/>
        </w:rPr>
        <w:t xml:space="preserve">Removal of commissioner</w:t>
      </w:r>
    </w:p>
    <w:p>
      <w:pPr>
        <w:jc w:val="both"/>
        <w:spacing w:before="100" w:after="100"/>
        <w:ind w:start="360"/>
        <w:ind w:firstLine="360"/>
      </w:pPr>
      <w:r>
        <w:rPr/>
      </w:r>
      <w:r>
        <w:rPr/>
      </w:r>
      <w:r>
        <w:t xml:space="preserve">Any willful violation of this Title by a commissioner constitutes sufficient cause for the commissioner's removal by the Governor, on the address of both branches of the Legislature or by impeachment pursuant to the Constitution of Maine, Article IX, Section 5.</w:t>
      </w:r>
      <w:r>
        <w:t xml:space="preserve">  </w:t>
      </w:r>
      <w:r xmlns:wp="http://schemas.openxmlformats.org/drawingml/2010/wordprocessingDrawing" xmlns:w15="http://schemas.microsoft.com/office/word/2012/wordml">
        <w:rPr>
          <w:rFonts w:ascii="Arial" w:hAnsi="Arial" w:cs="Arial"/>
          <w:sz w:val="22"/>
          <w:szCs w:val="22"/>
        </w:rPr>
        <w:t xml:space="preserve">[RR 2021, c. 1, Pt. B, §395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§395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 Removal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 Removal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§110. REMOVAL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