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Removal of commissioner</w:t>
      </w:r>
    </w:p>
    <w:p>
      <w:pPr>
        <w:jc w:val="both"/>
        <w:spacing w:before="100" w:after="100"/>
        <w:ind w:start="360"/>
        <w:ind w:firstLine="360"/>
      </w:pPr>
      <w:r>
        <w:rPr/>
      </w:r>
      <w:r>
        <w:rPr/>
      </w:r>
      <w:r>
        <w:t xml:space="preserve">Any willful violation of this Title by a commissioner constitutes sufficient cause for the commissioner's removal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2021, c. 1, Pt. B, §395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Removal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Removal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 REMOVAL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