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1601-112</w:t>
        <w:t xml:space="preserve">.  </w:t>
      </w:r>
      <w:r>
        <w:rPr>
          <w:b/>
        </w:rPr>
        <w:t xml:space="preserve">Unconscionable agreement or term of contract</w:t>
      </w:r>
    </w:p>
    <w:p>
      <w:pPr>
        <w:jc w:val="both"/>
        <w:spacing w:before="100" w:after="100"/>
        <w:ind w:start="360"/>
        <w:ind w:firstLine="360"/>
      </w:pPr>
      <w:r>
        <w:rPr/>
      </w:r>
      <w:r>
        <w:rPr/>
      </w:r>
      <w:r>
        <w:t xml:space="preserve">(a)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Whenever it is claimed, or appears to the court, that a contract or any contract clause is or may be unconscionable, the parties, in order to aid the court in making the determination, shall be afforded a reasonable opportunity to present evidence as to:</w:t>
      </w:r>
    </w:p>
    <w:p>
      <w:pPr>
        <w:jc w:val="both"/>
        <w:spacing w:before="100" w:after="100"/>
        <w:ind w:start="360"/>
        <w:ind w:firstLine="360"/>
      </w:pPr>
      <w:r>
        <w:rPr/>
      </w:r>
      <w:r>
        <w:rPr/>
      </w:r>
      <w:r>
        <w:t xml:space="preserve">(1)  The commercial setting of the negotiations;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Whether a party has knowingly taken advantage of the inability of the other party reasonably to protect his interests by reason of physical or mental infirmity,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effect and purpose of the contract or clause;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 sale, any gross disparity, at the time of contracting, between the amount charged for the real estate and the value of the real estate measured by the price at which similar real estate was readily obtainable in similar transactions, but a disparity between the contract price and the value of the real estate measured by the price at which similar real estate was readily obtainable in similar transactions does not, of itself, render the contract unconscionable.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§1601-112. Unconscionable agreement or term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§1601-112. Unconscionable agreement or term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§1601-112. UNCONSCIONABLE AGREEMENT OR TERM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