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Unlicensed practice</w:t>
      </w:r>
    </w:p>
    <w:p>
      <w:pPr>
        <w:jc w:val="both"/>
        <w:spacing w:before="100" w:after="100"/>
        <w:ind w:start="360"/>
        <w:ind w:firstLine="360"/>
      </w:pPr>
      <w:r>
        <w:rPr/>
      </w:r>
      <w:r>
        <w:rPr/>
      </w:r>
      <w:r>
        <w:t xml:space="preserve">Notwithstanding </w:t>
      </w:r>
      <w:r>
        <w:t>Title 17‑A, section 4‑A</w:t>
      </w:r>
      <w:r>
        <w:t xml:space="preserve">, any person who makes a representation to the public or uses the title of social worker, unless licensed by the board, as a licensed clinical social worker, licensed master social worker, certified social worker or a licensed social worker is subject to the provisions of </w:t>
      </w:r>
      <w:r>
        <w:t>Title 10, section 8003‑C</w:t>
      </w:r>
      <w:r>
        <w:t xml:space="preserve">.  Any person performing the functions of a social worker as a part of a profession or occupation or in a voluntary capacity is not subject to this section.  A person who engages in the practice of a clinical social worker, master social worker or social worker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§2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§222 (AMD). PL 1983, c. 805, §6 (AMD). PL 1985, c. 736, §3 (AMD). PL 1999, c. 547, §B78 (AMD). PL 1999, c. 547, §B80 (AFF). PL 2007, c. 402, Pt. V, §2 (AMD). PL 2021, c. 233, §2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§7002.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§7002.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