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6212</w:t>
        <w:t xml:space="preserve">.  </w:t>
      </w:r>
      <w:r>
        <w:rPr>
          <w:b/>
        </w:rPr>
        <w:t xml:space="preserve">Powers and duties of the board</w:t>
      </w:r>
    </w:p>
    <w:p>
      <w:pPr>
        <w:jc w:val="both"/>
        <w:spacing w:before="100" w:after="100"/>
        <w:ind w:start="360"/>
        <w:ind w:firstLine="360"/>
      </w:pPr>
      <w:r>
        <w:rPr/>
      </w:r>
      <w:r>
        <w:rPr/>
      </w:r>
      <w:r>
        <w:t xml:space="preserve">The board has the following powers and duties in addition to all other powers and duties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U, §7 (AMD).]</w:t>
      </w:r>
    </w:p>
    <w:p>
      <w:pPr>
        <w:jc w:val="both"/>
        <w:spacing w:before="100" w:after="0"/>
        <w:ind w:start="360"/>
        <w:ind w:firstLine="360"/>
      </w:pPr>
      <w:r>
        <w:rPr>
          <w:b/>
        </w:rPr>
        <w:t>1</w:t>
        <w:t xml:space="preserve">.  </w:t>
      </w:r>
      <w:r>
        <w:rPr>
          <w:b/>
        </w:rPr>
        <w:t xml:space="preserve">Set standards.</w:t>
        <w:t xml:space="preserve"> </w:t>
      </w:r>
      <w:r>
        <w:t xml:space="preserve"> </w:t>
      </w:r>
      <w:r>
        <w:t xml:space="preserve">The board shall administer and enforce this chapter, set forth education and examination standards and evaluate the qualifications for licensure.  Any standards of eligibility set by the board must be clearly defined, measurable and written in accordance with accepted standards and available to the public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456, §15 (AMD).]</w:t>
      </w:r>
    </w:p>
    <w:p>
      <w:pPr>
        <w:jc w:val="both"/>
        <w:spacing w:before="100" w:after="0"/>
        <w:ind w:start="360"/>
        <w:ind w:firstLine="360"/>
      </w:pPr>
      <w:r>
        <w:rPr>
          <w:b/>
        </w:rPr>
        <w:t>2</w:t>
        <w:t xml:space="preserve">.  </w:t>
      </w:r>
      <w:r>
        <w:rPr>
          <w:b/>
        </w:rPr>
        <w:t xml:space="preserve">Adopt criteria.</w:t>
        <w:t xml:space="preserve"> </w:t>
      </w:r>
      <w:r>
        <w:t xml:space="preserve"> </w:t>
      </w:r>
      <w:r>
        <w:t xml:space="preserve">The board, in cooperation with the Department of Health and Human Services, may design, adopt or design and adopt an examination or other suitable criteria for establishing a candidate's knowledge, skill and experience in alcohol and drug counseling.  Any criteria adopted by the board for establishing a candidate's knowledge, skill and experience in alcohol and drug counseling must be clearly defined, have an established baseline scoring procedure that is objectively measured, be in writing and be available to the public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§83 (AMD).]</w:t>
      </w:r>
    </w:p>
    <w:p>
      <w:pPr>
        <w:jc w:val="both"/>
        <w:spacing w:before="100" w:after="0"/>
        <w:ind w:start="360"/>
        <w:ind w:firstLine="360"/>
      </w:pPr>
      <w:r>
        <w:rPr>
          <w:b/>
        </w:rPr>
        <w:t>3</w:t>
        <w:t xml:space="preserve">.  </w:t>
      </w:r>
      <w:r>
        <w:rPr>
          <w:b/>
        </w:rPr>
        <w:t xml:space="preserve">Standards of practice.</w:t>
        <w:t xml:space="preserve"> </w:t>
      </w:r>
      <w:r>
        <w:t xml:space="preserve"> </w:t>
      </w:r>
      <w:r>
        <w:t xml:space="preserve">The board may establish standards of practice for all persons practicing as alcohol and drug counselors who are working in the State.  Any standards set by the board for practice for alcohol and drug counselors working in the State must be clearly defined, measurable and written in accordance with accepted standards and available to the public upon request.  Educational background must be a consideration in any licensing standards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§7 (AMD).]</w:t>
      </w:r>
    </w:p>
    <w:p>
      <w:pPr>
        <w:jc w:val="both"/>
        <w:spacing w:before="100" w:after="0"/>
        <w:ind w:start="360"/>
        <w:ind w:firstLine="360"/>
      </w:pPr>
      <w:r>
        <w:rPr>
          <w:b/>
        </w:rPr>
        <w:t>4</w:t>
        <w:t xml:space="preserve">.  </w:t>
      </w:r>
      <w:r>
        <w:rPr>
          <w:b/>
        </w:rPr>
        <w:t xml:space="preserve">Rules.</w:t>
        <w:t xml:space="preserve"> </w:t>
      </w:r>
      <w:r>
        <w:t xml:space="preserve"> </w:t>
      </w:r>
      <w:r>
        <w:t xml:space="preserve">The board may adopt such rules, including but not limited to rules regarding examinations; clinical supervision; and reasonable practice and education requirements for individuals licensed under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§7 (AMD).]</w:t>
      </w:r>
    </w:p>
    <w:p>
      <w:pPr>
        <w:jc w:val="both"/>
        <w:spacing w:before="100" w:after="0"/>
        <w:ind w:start="360"/>
        <w:ind w:firstLine="360"/>
      </w:pPr>
      <w:r>
        <w:rPr>
          <w:b/>
        </w:rPr>
        <w:t>4-A</w:t>
        <w:t xml:space="preserve">.  </w:t>
      </w:r>
      <w:r>
        <w:rPr>
          <w:b/>
        </w:rPr>
        <w:t xml:space="preserve">Advisory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831, §12 (RP).]</w:t>
      </w:r>
    </w:p>
    <w:p>
      <w:pPr>
        <w:jc w:val="both"/>
        <w:spacing w:before="100" w:after="0"/>
        <w:ind w:start="360"/>
        <w:ind w:firstLine="360"/>
      </w:pPr>
      <w:r>
        <w:rPr>
          <w:b/>
        </w:rPr>
        <w:t>5</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§81 (RP).]</w:t>
      </w:r>
    </w:p>
    <w:p>
      <w:pPr>
        <w:jc w:val="both"/>
        <w:spacing w:before="100" w:after="0"/>
        <w:ind w:start="360"/>
        <w:ind w:firstLine="360"/>
      </w:pPr>
      <w:r>
        <w:rPr>
          <w:b/>
        </w:rPr>
        <w:t>6</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§7 (RP).]</w:t>
      </w:r>
    </w:p>
    <w:p>
      <w:pPr>
        <w:jc w:val="both"/>
        <w:spacing w:before="100" w:after="0"/>
        <w:ind w:start="360"/>
        <w:ind w:firstLine="360"/>
      </w:pPr>
      <w:r>
        <w:rPr>
          <w:b/>
        </w:rPr>
        <w:t>7</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§7 (RP).]</w:t>
      </w:r>
    </w:p>
    <w:p>
      <w:pPr>
        <w:jc w:val="both"/>
        <w:spacing w:before="100" w:after="0"/>
        <w:ind w:start="360"/>
        <w:ind w:firstLine="360"/>
      </w:pPr>
      <w:r>
        <w:rPr>
          <w:b/>
        </w:rPr>
        <w:t>8</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§7 (RP).]</w:t>
      </w:r>
    </w:p>
    <w:p>
      <w:pPr>
        <w:jc w:val="both"/>
        <w:spacing w:before="100" w:after="0"/>
        <w:ind w:start="360"/>
        <w:ind w:firstLine="360"/>
      </w:pPr>
      <w:r>
        <w:rPr>
          <w:b/>
        </w:rPr>
        <w:t>9</w:t>
        <w:t xml:space="preserve">.  </w:t>
      </w:r>
      <w:r>
        <w:rPr>
          <w:b/>
        </w:rPr>
        <w:t xml:space="preserve">Code of ethics.</w:t>
        <w:t xml:space="preserve"> </w:t>
      </w:r>
      <w:r>
        <w:t xml:space="preserve"> </w:t>
      </w:r>
      <w:r>
        <w:t xml:space="preserve">The board shall adopt a code of ethics generally in keeping with standards established by the national professional associations concerned with the areas of board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456, §20 (NEW).]</w:t>
      </w:r>
    </w:p>
    <w:p>
      <w:pPr>
        <w:jc w:val="both"/>
        <w:spacing w:before="100" w:after="0"/>
        <w:ind w:start="360"/>
        <w:ind w:firstLine="360"/>
      </w:pPr>
      <w:r>
        <w:rPr>
          <w:b/>
        </w:rPr>
        <w:t>10</w:t>
        <w:t xml:space="preserve">.  </w:t>
      </w:r>
      <w:r>
        <w:rPr>
          <w:b/>
        </w:rPr>
        <w:t xml:space="preserve">Issue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U, §7 (RP).]</w:t>
      </w:r>
    </w:p>
    <w:p>
      <w:pPr>
        <w:jc w:val="both"/>
        <w:spacing w:before="100" w:after="0"/>
        <w:ind w:start="360"/>
        <w:ind w:firstLine="360"/>
      </w:pPr>
      <w:r>
        <w:rPr>
          <w:b/>
        </w:rPr>
        <w:t>11</w:t>
        <w:t xml:space="preserve">.  </w:t>
      </w:r>
      <w:r>
        <w:rPr>
          <w:b/>
        </w:rPr>
        <w:t xml:space="preserve">Service provider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§9 (RP); PL 2003, c. 347, §25 (AFF).]</w:t>
      </w:r>
    </w:p>
    <w:p>
      <w:pPr>
        <w:jc w:val="both"/>
        <w:spacing w:before="100" w:after="0"/>
        <w:ind w:start="360"/>
        <w:ind w:firstLine="360"/>
      </w:pPr>
      <w:r>
        <w:rPr>
          <w:b/>
        </w:rPr>
        <w:t>12</w:t>
        <w:t xml:space="preserve">.  </w:t>
      </w:r>
      <w:r>
        <w:rPr>
          <w:b/>
        </w:rPr>
        <w:t xml:space="preserve">Clinical supervision.</w:t>
        <w:t xml:space="preserve"> </w:t>
      </w:r>
      <w:r>
        <w:t xml:space="preserve"> </w:t>
      </w:r>
      <w:r>
        <w:t xml:space="preserve">For purposes of direct clinical supervision of licensed practitioners in the field of alcohol and drug counseling, the board may license certified clinical supervisors.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466, §2 (NEW). PL 1983, c. 413, §§214-216 (AMD). PL 1987, c. 395, §A201 (AMD). PL 1989, c. 831, §§3-7,12 (AMD). PL 1991, c. 456, §§15-20 (AMD). PL 1995, c. 394, §§10-12 (AMD). PL 1995, c. 397, §81 (AMD). PL 1997, c. 210, §10 (AMD). PL 1999, c. 685, §17 (AMD). PL 2003, c. 347, §§8-10 (AMD). PL 2003, c. 347, §25 (AFF). PL 2007, c. 402, Pt. U, §7 (AMD). PL 2011, c. 657, Pt. AA, §83 (AMD). PL 2019, c. 83,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§6212.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§6212.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§6212.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