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6123</w:t>
        <w:t xml:space="preserve">.  </w:t>
      </w:r>
      <w:r>
        <w:rPr>
          <w:b/>
        </w:rPr>
        <w:t xml:space="preserve">Enforcement</w:t>
      </w:r>
    </w:p>
    <w:p>
      <w:pPr>
        <w:jc w:val="both"/>
        <w:spacing w:before="100" w:after="0"/>
        <w:ind w:start="360"/>
        <w:ind w:firstLine="360"/>
      </w:pPr>
      <w:r>
        <w:rPr>
          <w:b/>
        </w:rPr>
        <w:t>1</w:t>
        <w:t xml:space="preserve">.  </w:t>
      </w:r>
      <w:r>
        <w:rPr>
          <w:b/>
        </w:rPr>
        <w:t xml:space="preserve">Court order.</w:t>
        <w:t xml:space="preserve"> </w:t>
      </w:r>
      <w:r>
        <w:t xml:space="preserve"> </w:t>
      </w:r>
      <w:r>
        <w:t xml:space="preserve">If it appears to the administrator that any person has committed or is about to commit a violation of any provision of this subchapter or of any rule or order of the administrator, the administrator may, after notice and hearing, issue a cease and desist order, and may apply to the Superior Court or District Court for an order enjoining that person from violating or continuing to violate this subchapter or any rule or order and for injunctive or such other relief as the nature of the case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1999, c. 547, Pt. B, §78 (AMD); PL 1999, c. 547, Pt. B, §80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administrator may enter into consent orders at any time with any person to resolve any matter arising under this subchapter.  A consent order must be signed by the person to whom it is issued or a duly authorized representative, and must indicate agreement to the terms contained in the order.  A consent order is not required to constitute an admission by any person that any provision of this subchapter, or any rule or order issued under this subchapter has been violated, and is not required to constitute a finding by the administrator that the person has violated any provision of this subchapter or any rule or order or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Civil or criminal penalties.</w:t>
        <w:t xml:space="preserve"> </w:t>
      </w:r>
      <w:r>
        <w:t xml:space="preserve"> </w:t>
      </w:r>
      <w:r>
        <w:t xml:space="preserve">Notwithstanding the issuance of a consent order, the administrator may seek civil or criminal penalties or compromise civil penalties concerning matters encompassed by the consent order, unless the consent order by its terms expressly precludes the administrator from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