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6122</w:t>
        <w:t xml:space="preserve">.  </w:t>
      </w:r>
      <w:r>
        <w:rPr>
          <w:b/>
        </w:rPr>
        <w:t xml:space="preserve">Civil penalties</w:t>
      </w:r>
    </w:p>
    <w:p>
      <w:pPr>
        <w:jc w:val="both"/>
        <w:spacing w:before="100" w:after="0"/>
        <w:ind w:start="360"/>
        <w:ind w:firstLine="360"/>
      </w:pPr>
      <w:r>
        <w:rPr>
          <w:b/>
        </w:rPr>
        <w:t>1</w:t>
        <w:t xml:space="preserve">.  </w:t>
      </w:r>
      <w:r>
        <w:rPr>
          <w:b/>
        </w:rPr>
        <w:t xml:space="preserve">Civil penalty.</w:t>
        <w:t xml:space="preserve"> </w:t>
      </w:r>
      <w:r>
        <w:t xml:space="preserve"> </w:t>
      </w:r>
      <w:r>
        <w:t xml:space="preserve">If, after notice and hearing, the administrator finds that a person has intentionally violated this subchapter or a rule adopted under this subchapter, the administrator may order the person to pay to the administrator a civil penalty in an amount specified by the administrator, not to exceed $1,000 for each violation or, in the case of a continuing violation, $1,000 for each day that the violation continues.  A proceeding may not be initiated and a penalty may not be assessed pursuant to this section until after the person has been notified in writing of the nature of the violation, has been afforded a reasonable period of time, as set forth in the notice, to correct the violation and has failed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Settlement.</w:t>
        <w:t xml:space="preserve"> </w:t>
      </w:r>
      <w:r>
        <w:t xml:space="preserve"> </w:t>
      </w:r>
      <w:r>
        <w:t xml:space="preserve">The administrator, in the exercise of the administrator's reasonable judgment, is authorized to compromise or settle with and collect civil penalties and other costs from any person for violations of any provision of this subchapter, or of any rule or order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§6122.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§6122.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§6122.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