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2204</w:t>
        <w:t xml:space="preserve">.  </w:t>
      </w:r>
      <w:r>
        <w:rPr>
          <w:b/>
        </w:rPr>
        <w:t xml:space="preserve">Examination; time</w:t>
      </w:r>
    </w:p>
    <w:p>
      <w:pPr>
        <w:jc w:val="both"/>
        <w:spacing w:before="100" w:after="100"/>
        <w:ind w:start="360"/>
        <w:ind w:firstLine="360"/>
      </w:pPr>
      <w:r>
        <w:rPr/>
      </w:r>
      <w:r>
        <w:rPr/>
      </w:r>
      <w:r>
        <w:t xml:space="preserve">The board shall hold at least one examination annually at a place and at a time determined by the board.</w:t>
      </w:r>
      <w:r>
        <w:t xml:space="preserve">  </w:t>
      </w:r>
      <w:r xmlns:wp="http://schemas.openxmlformats.org/drawingml/2010/wordprocessingDrawing" xmlns:w15="http://schemas.microsoft.com/office/word/2012/wordml">
        <w:rPr>
          <w:rFonts w:ascii="Arial" w:hAnsi="Arial" w:cs="Arial"/>
          <w:sz w:val="22"/>
          <w:szCs w:val="22"/>
        </w:rPr>
        <w:t xml:space="preserve">[PL 1993, c. 600, Pt. A, §128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§2204. Examination; time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§2204. Examination; time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§2204. EXAMINATION; TIME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