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Injunctions</w:t>
      </w:r>
    </w:p>
    <w:p>
      <w:pPr>
        <w:jc w:val="both"/>
        <w:spacing w:before="100" w:after="100"/>
        <w:ind w:start="360"/>
        <w:ind w:firstLine="360"/>
      </w:pPr>
      <w:r>
        <w:rPr/>
      </w:r>
      <w:r>
        <w:rPr/>
      </w:r>
      <w:r>
        <w:t xml:space="preserve">The Superior Court has jurisdiction, upon information filed by the county attorney at the request of the board, to restrain or enjoin an individual from committing an act declared to be a misdemeanor by this chapter. If it is established that the defendant has been or is committing an act declared to be a misdemeanor by this chapter, the court shall enter a decree perpetually enjoining  the defendant from further committing that act. In case of violation of an injunction issued under this section, the court may summarily try and punish the offender for contempt of court. Injunction proceedings are in addition to, and not in lieu of, all penalties and other remedies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§2107.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§2107.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